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B89FBE" w14:textId="77777777" w:rsidR="005F5D94" w:rsidRPr="00DB6694" w:rsidRDefault="005F5D94" w:rsidP="00DB6694">
      <w:pPr>
        <w:jc w:val="center"/>
        <w:rPr>
          <w:b/>
        </w:rPr>
      </w:pPr>
    </w:p>
    <w:p w14:paraId="37D5048E" w14:textId="77777777" w:rsidR="005F5D94" w:rsidRPr="00DB6694" w:rsidRDefault="005F5D94" w:rsidP="00DB6694">
      <w:pPr>
        <w:jc w:val="left"/>
        <w:rPr>
          <w:b/>
        </w:rPr>
      </w:pPr>
    </w:p>
    <w:sdt>
      <w:sdtPr>
        <w:rPr>
          <w:bCs/>
          <w:color w:val="000000"/>
        </w:rPr>
        <w:alias w:val="Catégorie "/>
        <w:tag w:val="Catégorie "/>
        <w:id w:val="93925895"/>
        <w:lock w:val="sdtLocked"/>
        <w:placeholder>
          <w:docPart w:val="6A80C258FA5141D584B6EBD9115E47F9"/>
        </w:placeholder>
        <w:dataBinding w:prefixMappings="xmlns:ns0='http://purl.org/dc/elements/1.1/' xmlns:ns1='http://schemas.openxmlformats.org/package/2006/metadata/core-properties' " w:xpath="/ns1:coreProperties[1]/ns1:category[1]" w:storeItemID="{6C3C8BC8-F283-45AE-878A-BAB7291924A1}"/>
        <w:text/>
      </w:sdtPr>
      <w:sdtEndPr/>
      <w:sdtContent>
        <w:p w14:paraId="021C8ED6" w14:textId="77777777" w:rsidR="004C5E4D" w:rsidRDefault="008A5B36" w:rsidP="00DB6694">
          <w:pPr>
            <w:jc w:val="left"/>
          </w:pPr>
          <w:r w:rsidRPr="00DB6694">
            <w:rPr>
              <w:bCs/>
              <w:color w:val="000000"/>
            </w:rPr>
            <w:t>MESOPP</w:t>
          </w:r>
        </w:p>
      </w:sdtContent>
    </w:sdt>
    <w:p w14:paraId="1CA053A7" w14:textId="77777777" w:rsidR="004C5E4D" w:rsidRPr="00DB6694" w:rsidRDefault="004C5E4D" w:rsidP="00DB6694">
      <w:pPr>
        <w:jc w:val="left"/>
        <w:rPr>
          <w:b/>
          <w:color w:val="000000"/>
          <w:sz w:val="28"/>
          <w:szCs w:val="28"/>
        </w:rPr>
      </w:pPr>
    </w:p>
    <w:p w14:paraId="4DB5F214" w14:textId="77777777" w:rsidR="005F5D94" w:rsidRPr="00DB6694" w:rsidRDefault="005F5D94" w:rsidP="00DB6694">
      <w:pPr>
        <w:pStyle w:val="BlockText"/>
        <w:pBdr>
          <w:top w:val="none" w:sz="0" w:space="0" w:color="auto"/>
          <w:left w:val="none" w:sz="0" w:space="0" w:color="auto"/>
          <w:bottom w:val="none" w:sz="0" w:space="0" w:color="auto"/>
          <w:right w:val="none" w:sz="0" w:space="0" w:color="auto"/>
        </w:pBdr>
        <w:tabs>
          <w:tab w:val="clear" w:pos="5800"/>
        </w:tabs>
        <w:spacing w:before="120" w:after="0"/>
        <w:ind w:left="0" w:right="0"/>
        <w:rPr>
          <w:rFonts w:ascii="Trebuchet MS" w:hAnsi="Trebuchet MS"/>
          <w:bCs w:val="0"/>
          <w:sz w:val="56"/>
          <w:szCs w:val="48"/>
        </w:rPr>
      </w:pPr>
    </w:p>
    <w:bookmarkStart w:id="0" w:name="Titre" w:displacedByCustomXml="next"/>
    <w:sdt>
      <w:sdtPr>
        <w:rPr>
          <w:rFonts w:ascii="Trebuchet MS" w:hAnsi="Trebuchet MS"/>
          <w:b w:val="0"/>
          <w:bCs w:val="0"/>
          <w:color w:val="808080"/>
          <w:sz w:val="44"/>
          <w:szCs w:val="44"/>
          <w:lang w:val="en-US"/>
        </w:rPr>
        <w:alias w:val="Titre "/>
        <w:tag w:val="Titre "/>
        <w:id w:val="265715901"/>
        <w:lock w:val="sdtLocked"/>
        <w:placeholder>
          <w:docPart w:val="7E1827FE640F4A2AB9476E3A25A1CD22"/>
        </w:placeholder>
        <w:dataBinding w:prefixMappings="xmlns:ns0='http://purl.org/dc/elements/1.1/' xmlns:ns1='http://schemas.openxmlformats.org/package/2006/metadata/core-properties' " w:xpath="/ns1:coreProperties[1]/ns0:title[1]" w:storeItemID="{6C3C8BC8-F283-45AE-878A-BAB7291924A1}"/>
        <w:text/>
      </w:sdtPr>
      <w:sdtEndPr/>
      <w:sdtContent>
        <w:p w14:paraId="5814D3E3" w14:textId="11D17378" w:rsidR="005F5D94" w:rsidRPr="00DB6694" w:rsidRDefault="00D7758E" w:rsidP="00DB6694">
          <w:pPr>
            <w:pStyle w:val="BlockText"/>
            <w:pBdr>
              <w:top w:val="none" w:sz="0" w:space="0" w:color="auto"/>
              <w:left w:val="none" w:sz="0" w:space="0" w:color="auto"/>
              <w:bottom w:val="none" w:sz="0" w:space="0" w:color="auto"/>
              <w:right w:val="none" w:sz="0" w:space="0" w:color="auto"/>
            </w:pBdr>
            <w:tabs>
              <w:tab w:val="clear" w:pos="5800"/>
            </w:tabs>
            <w:spacing w:before="120" w:after="0"/>
            <w:ind w:left="0" w:right="0"/>
            <w:rPr>
              <w:rFonts w:ascii="Trebuchet MS" w:hAnsi="Trebuchet MS"/>
              <w:b w:val="0"/>
              <w:bCs w:val="0"/>
              <w:sz w:val="44"/>
              <w:szCs w:val="44"/>
            </w:rPr>
          </w:pPr>
          <w:r w:rsidRPr="00D7758E">
            <w:rPr>
              <w:rFonts w:ascii="Trebuchet MS" w:hAnsi="Trebuchet MS"/>
              <w:b w:val="0"/>
              <w:bCs w:val="0"/>
              <w:color w:val="808080"/>
              <w:sz w:val="44"/>
              <w:szCs w:val="44"/>
              <w:lang w:val="en-US"/>
            </w:rPr>
            <w:t>Modelisation of potential habitats of the main mesopelagic fish according to environmental parameters</w:t>
          </w:r>
        </w:p>
      </w:sdtContent>
    </w:sdt>
    <w:bookmarkEnd w:id="0" w:displacedByCustomXml="prev"/>
    <w:tbl>
      <w:tblPr>
        <w:tblStyle w:val="TableGrid"/>
        <w:tblpPr w:leftFromText="142" w:rightFromText="142" w:vertAnchor="page" w:tblpXSpec="right" w:tblpY="9640"/>
        <w:tblOverlap w:val="never"/>
        <w:tblW w:w="51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35"/>
        <w:gridCol w:w="2905"/>
      </w:tblGrid>
      <w:tr w:rsidR="00F70F48" w:rsidRPr="00B6005A" w14:paraId="3D09508C" w14:textId="77777777" w:rsidTr="00DB6694">
        <w:trPr>
          <w:trHeight w:val="397"/>
        </w:trPr>
        <w:tc>
          <w:tcPr>
            <w:tcW w:w="2235" w:type="dxa"/>
          </w:tcPr>
          <w:p w14:paraId="32119783" w14:textId="77777777" w:rsidR="00F70F48" w:rsidRPr="00DB6694" w:rsidRDefault="00F70F48" w:rsidP="00DB6694">
            <w:pPr>
              <w:pStyle w:val="BlockText"/>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DB6694">
              <w:rPr>
                <w:rFonts w:ascii="Trebuchet MS" w:hAnsi="Trebuchet MS"/>
                <w:b w:val="0"/>
                <w:sz w:val="20"/>
                <w:szCs w:val="20"/>
              </w:rPr>
              <w:t>Deliverable Lead:</w:t>
            </w:r>
          </w:p>
        </w:tc>
        <w:tc>
          <w:tcPr>
            <w:tcW w:w="2905" w:type="dxa"/>
          </w:tcPr>
          <w:p w14:paraId="67EE5394" w14:textId="49080142" w:rsidR="00F70F48" w:rsidRPr="00B6005A" w:rsidRDefault="00F21EBE" w:rsidP="00504708">
            <w:pPr>
              <w:pStyle w:val="Header"/>
              <w:spacing w:before="120" w:after="0"/>
            </w:pPr>
            <w:r>
              <w:t>University of St Andrews</w:t>
            </w:r>
            <w:r w:rsidR="00F70F48" w:rsidRPr="00B6005A">
              <w:t xml:space="preserve"> </w:t>
            </w:r>
          </w:p>
        </w:tc>
      </w:tr>
      <w:tr w:rsidR="005F5D94" w:rsidRPr="00B6005A" w14:paraId="378F287B" w14:textId="77777777" w:rsidTr="00DB6694">
        <w:trPr>
          <w:trHeight w:val="397"/>
        </w:trPr>
        <w:tc>
          <w:tcPr>
            <w:tcW w:w="2235" w:type="dxa"/>
          </w:tcPr>
          <w:p w14:paraId="2963E766" w14:textId="77777777" w:rsidR="005F5D94" w:rsidRPr="00DB6694" w:rsidRDefault="00164013" w:rsidP="00DB6694">
            <w:pPr>
              <w:pStyle w:val="BlockText"/>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DB6694">
              <w:rPr>
                <w:rFonts w:ascii="Trebuchet MS" w:hAnsi="Trebuchet MS"/>
                <w:b w:val="0"/>
                <w:sz w:val="20"/>
                <w:szCs w:val="20"/>
              </w:rPr>
              <w:t>Reference</w:t>
            </w:r>
            <w:r w:rsidR="005F5D94" w:rsidRPr="00DB6694">
              <w:rPr>
                <w:rFonts w:ascii="Trebuchet MS" w:hAnsi="Trebuchet MS"/>
                <w:b w:val="0"/>
                <w:sz w:val="20"/>
                <w:szCs w:val="20"/>
              </w:rPr>
              <w:t>:</w:t>
            </w:r>
          </w:p>
        </w:tc>
        <w:sdt>
          <w:sdtPr>
            <w:alias w:val="Reference"/>
            <w:tag w:val="Reference"/>
            <w:id w:val="93925899"/>
            <w:lock w:val="sdtLocked"/>
            <w:placeholder>
              <w:docPart w:val="6921BB5CB5A64C798D04C20684826BA5"/>
            </w:placeholder>
            <w:dataBinding w:prefixMappings="xmlns:ns0='http://schemas.microsoft.com/office/2006/metadata/properties' xmlns:ns1='http://www.w3.org/2001/XMLSchema-instance' xmlns:ns2='http://schemas.microsoft.com/office/infopath/2007/PartnerControls' xmlns:ns3='http://schemas.microsoft.com/sharepoint/v3' xmlns:ns4='24584a92-cfe5-42c0-880b-1dbd08f20e00' xmlns:ns5='http://schemas.microsoft.com/sharepoint/v3/fields' " w:xpath="/ns0:properties[1]/documentManagement[1]/ns4:Référence[1]" w:storeItemID="{266CB10C-B786-4360-BB67-6A5086C74641}"/>
            <w:text/>
          </w:sdtPr>
          <w:sdtEndPr/>
          <w:sdtContent>
            <w:tc>
              <w:tcPr>
                <w:tcW w:w="2905" w:type="dxa"/>
              </w:tcPr>
              <w:p w14:paraId="78B0F40A" w14:textId="2EFC5CE0" w:rsidR="005F5D94" w:rsidRPr="00B6005A" w:rsidRDefault="007D55B2" w:rsidP="00504708">
                <w:pPr>
                  <w:pStyle w:val="Header"/>
                  <w:spacing w:before="120" w:after="0"/>
                </w:pPr>
                <w:r w:rsidRPr="00B6005A">
                  <w:t>MESOPP-</w:t>
                </w:r>
                <w:r w:rsidR="00F21EBE">
                  <w:t>18-0004</w:t>
                </w:r>
              </w:p>
            </w:tc>
          </w:sdtContent>
        </w:sdt>
      </w:tr>
      <w:tr w:rsidR="005F5D94" w:rsidRPr="00B6005A" w14:paraId="0C1BF53F" w14:textId="77777777" w:rsidTr="00DB6694">
        <w:trPr>
          <w:trHeight w:val="437"/>
        </w:trPr>
        <w:tc>
          <w:tcPr>
            <w:tcW w:w="2235" w:type="dxa"/>
          </w:tcPr>
          <w:p w14:paraId="0A10D279" w14:textId="77777777" w:rsidR="005F5D94" w:rsidRPr="00DB6694" w:rsidRDefault="008A5B36" w:rsidP="00DB6694">
            <w:pPr>
              <w:pStyle w:val="BlockText"/>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DB6694">
              <w:rPr>
                <w:rFonts w:ascii="Trebuchet MS" w:hAnsi="Trebuchet MS"/>
                <w:b w:val="0"/>
                <w:sz w:val="20"/>
                <w:szCs w:val="20"/>
              </w:rPr>
              <w:t>Dissemination Level</w:t>
            </w:r>
            <w:r w:rsidR="005F5D94" w:rsidRPr="00DB6694">
              <w:rPr>
                <w:rFonts w:ascii="Trebuchet MS" w:hAnsi="Trebuchet MS"/>
                <w:b w:val="0"/>
                <w:sz w:val="20"/>
                <w:szCs w:val="20"/>
              </w:rPr>
              <w:t>:</w:t>
            </w:r>
            <w:r w:rsidR="005F5D94" w:rsidRPr="00DB6694">
              <w:rPr>
                <w:b w:val="0"/>
                <w:sz w:val="20"/>
                <w:szCs w:val="20"/>
              </w:rPr>
              <w:t xml:space="preserve"> </w:t>
            </w:r>
          </w:p>
        </w:tc>
        <w:sdt>
          <w:sdtPr>
            <w:alias w:val="Nomenclature"/>
            <w:tag w:val="Nomenclature"/>
            <w:id w:val="273713426"/>
            <w:lock w:val="sdtLocked"/>
            <w:placeholder>
              <w:docPart w:val="CABD246638F942B9B11E613BC8720D91"/>
            </w:placeholder>
            <w:dataBinding w:prefixMappings="xmlns:ns0='http://schemas.microsoft.com/office/2006/metadata/properties' xmlns:ns1='http://www.w3.org/2001/XMLSchema-instance' xmlns:ns2='http://schemas.microsoft.com/office/infopath/2007/PartnerControls' xmlns:ns3='http://schemas.microsoft.com/sharepoint/v3' xmlns:ns4='24584a92-cfe5-42c0-880b-1dbd08f20e00' xmlns:ns5='http://schemas.microsoft.com/sharepoint/v3/fields' " w:xpath="/ns0:properties[1]/documentManagement[1]/ns4:Nomenclature[1]" w:storeItemID="{266CB10C-B786-4360-BB67-6A5086C74641}"/>
            <w:text/>
          </w:sdtPr>
          <w:sdtEndPr/>
          <w:sdtContent>
            <w:tc>
              <w:tcPr>
                <w:tcW w:w="2905" w:type="dxa"/>
              </w:tcPr>
              <w:p w14:paraId="426732FD" w14:textId="6FADF789" w:rsidR="005F5D94" w:rsidRPr="00B6005A" w:rsidRDefault="007D55B2" w:rsidP="00DB6694">
                <w:pPr>
                  <w:pStyle w:val="Header"/>
                  <w:spacing w:before="120" w:after="0"/>
                </w:pPr>
                <w:r w:rsidRPr="00B6005A">
                  <w:t>Public</w:t>
                </w:r>
              </w:p>
            </w:tc>
          </w:sdtContent>
        </w:sdt>
      </w:tr>
      <w:tr w:rsidR="005F5D94" w:rsidRPr="00B6005A" w14:paraId="238634A1" w14:textId="77777777" w:rsidTr="00DB6694">
        <w:trPr>
          <w:trHeight w:val="284"/>
        </w:trPr>
        <w:tc>
          <w:tcPr>
            <w:tcW w:w="2235" w:type="dxa"/>
          </w:tcPr>
          <w:p w14:paraId="279C237E" w14:textId="77777777" w:rsidR="005F5D94" w:rsidRPr="00DB6694" w:rsidRDefault="00164013" w:rsidP="00DB6694">
            <w:pPr>
              <w:pStyle w:val="BlockText"/>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DB6694">
              <w:rPr>
                <w:rFonts w:ascii="Trebuchet MS" w:hAnsi="Trebuchet MS"/>
                <w:b w:val="0"/>
                <w:sz w:val="20"/>
                <w:szCs w:val="20"/>
              </w:rPr>
              <w:t>Issue</w:t>
            </w:r>
            <w:r w:rsidR="005F5D94" w:rsidRPr="00DB6694">
              <w:rPr>
                <w:rFonts w:ascii="Trebuchet MS" w:hAnsi="Trebuchet MS"/>
                <w:b w:val="0"/>
                <w:sz w:val="20"/>
                <w:szCs w:val="20"/>
              </w:rPr>
              <w:t>:</w:t>
            </w:r>
          </w:p>
        </w:tc>
        <w:bookmarkStart w:id="1" w:name="Indicerévision"/>
        <w:tc>
          <w:tcPr>
            <w:tcW w:w="2905" w:type="dxa"/>
          </w:tcPr>
          <w:p w14:paraId="2C0A55B1" w14:textId="32E2C728" w:rsidR="005F5D94" w:rsidRPr="00B6005A" w:rsidRDefault="007C29A3" w:rsidP="00623D35">
            <w:pPr>
              <w:pStyle w:val="Header"/>
              <w:spacing w:before="120" w:after="0"/>
            </w:pPr>
            <w:sdt>
              <w:sdtPr>
                <w:alias w:val="Edition Number"/>
                <w:tag w:val="Edition Number"/>
                <w:id w:val="93925902"/>
                <w:lock w:val="sdtLocked"/>
                <w:placeholder>
                  <w:docPart w:val="119CB33CCEF64B7797AAB8A0F0D16261"/>
                </w:placeholder>
                <w:dataBinding w:prefixMappings="xmlns:ns0='http://schemas.microsoft.com/office/2006/metadata/properties' xmlns:ns1='http://www.w3.org/2001/XMLSchema-instance' xmlns:ns2='http://schemas.microsoft.com/office/infopath/2007/PartnerControls' xmlns:ns3='http://schemas.microsoft.com/sharepoint/v3' xmlns:ns4='24584a92-cfe5-42c0-880b-1dbd08f20e00' xmlns:ns5='http://schemas.microsoft.com/sharepoint/v3/fields' " w:xpath="/ns0:properties[1]/documentManagement[1]/ns4:Indice_x0020_édition[1]" w:storeItemID="{266CB10C-B786-4360-BB67-6A5086C74641}"/>
                <w:text/>
              </w:sdtPr>
              <w:sdtEndPr/>
              <w:sdtContent>
                <w:r w:rsidR="00623D35">
                  <w:t>1</w:t>
                </w:r>
              </w:sdtContent>
            </w:sdt>
            <w:r w:rsidR="00CF4489" w:rsidRPr="00B6005A">
              <w:t>.</w:t>
            </w:r>
            <w:bookmarkEnd w:id="1"/>
            <w:r w:rsidR="00075830" w:rsidRPr="00B6005A">
              <w:t xml:space="preserve"> </w:t>
            </w:r>
            <w:sdt>
              <w:sdtPr>
                <w:alias w:val="Revision Number"/>
                <w:tag w:val="Revision Number"/>
                <w:id w:val="93925905"/>
                <w:lock w:val="sdtLocked"/>
                <w:placeholder>
                  <w:docPart w:val="65B6542F069F42F5883FFBFC87E2DDE1"/>
                </w:placeholder>
                <w:dataBinding w:prefixMappings="xmlns:ns0='http://schemas.microsoft.com/office/2006/metadata/properties' xmlns:ns1='http://www.w3.org/2001/XMLSchema-instance' xmlns:ns2='http://schemas.microsoft.com/office/infopath/2007/PartnerControls' xmlns:ns3='http://schemas.microsoft.com/sharepoint/v3' xmlns:ns4='24584a92-cfe5-42c0-880b-1dbd08f20e00' xmlns:ns5='http://schemas.microsoft.com/sharepoint/v3/fields' " w:xpath="/ns0:properties[1]/documentManagement[1]/ns4:Indice_x0020_révision[1]" w:storeItemID="{266CB10C-B786-4360-BB67-6A5086C74641}"/>
                <w:text/>
              </w:sdtPr>
              <w:sdtEndPr/>
              <w:sdtContent>
                <w:r w:rsidR="00922A31">
                  <w:t>1</w:t>
                </w:r>
              </w:sdtContent>
            </w:sdt>
          </w:p>
        </w:tc>
      </w:tr>
      <w:tr w:rsidR="005F5D94" w:rsidRPr="00B6005A" w14:paraId="24944F98" w14:textId="77777777" w:rsidTr="00DB6694">
        <w:trPr>
          <w:trHeight w:val="397"/>
        </w:trPr>
        <w:tc>
          <w:tcPr>
            <w:tcW w:w="2235" w:type="dxa"/>
          </w:tcPr>
          <w:p w14:paraId="6E9DC958" w14:textId="77777777" w:rsidR="005F5D94" w:rsidRPr="00DB6694" w:rsidRDefault="00164013" w:rsidP="00DB6694">
            <w:pPr>
              <w:pStyle w:val="BlockText"/>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DB6694">
              <w:rPr>
                <w:rFonts w:ascii="Trebuchet MS" w:hAnsi="Trebuchet MS"/>
                <w:b w:val="0"/>
                <w:sz w:val="20"/>
                <w:szCs w:val="20"/>
              </w:rPr>
              <w:t>Date</w:t>
            </w:r>
            <w:r w:rsidR="005F5D94" w:rsidRPr="00DB6694">
              <w:rPr>
                <w:rFonts w:ascii="Trebuchet MS" w:hAnsi="Trebuchet MS"/>
                <w:b w:val="0"/>
                <w:sz w:val="20"/>
                <w:szCs w:val="20"/>
              </w:rPr>
              <w:t>:</w:t>
            </w:r>
          </w:p>
        </w:tc>
        <w:sdt>
          <w:sdtPr>
            <w:alias w:val="Issue Date"/>
            <w:tag w:val="Issue Date"/>
            <w:id w:val="93925914"/>
            <w:lock w:val="sdtLocked"/>
            <w:placeholder>
              <w:docPart w:val="DCCF821A32924D7D9F4F4F61DA564DAC"/>
            </w:placeholder>
            <w:dataBinding w:prefixMappings="xmlns:ns0='http://schemas.microsoft.com/office/2006/metadata/properties' xmlns:ns1='http://www.w3.org/2001/XMLSchema-instance' xmlns:ns2='http://schemas.microsoft.com/office/infopath/2007/PartnerControls' xmlns:ns3='http://schemas.microsoft.com/sharepoint/v3' xmlns:ns4='24584a92-cfe5-42c0-880b-1dbd08f20e00' xmlns:ns5='http://schemas.microsoft.com/sharepoint/v3/fields' " w:xpath="/ns0:properties[1]/documentManagement[1]/ns4:Date_x0020_version[1]" w:storeItemID="{266CB10C-B786-4360-BB67-6A5086C74641}"/>
            <w:date w:fullDate="2019-03-03T00:00:00Z">
              <w:dateFormat w:val="YYYY,MMM.DD"/>
              <w:lid w:val="en-GB"/>
              <w:storeMappedDataAs w:val="dateTime"/>
              <w:calendar w:val="gregorian"/>
            </w:date>
          </w:sdtPr>
          <w:sdtEndPr/>
          <w:sdtContent>
            <w:tc>
              <w:tcPr>
                <w:tcW w:w="2905" w:type="dxa"/>
              </w:tcPr>
              <w:p w14:paraId="36423266" w14:textId="7F28D8E3" w:rsidR="005F5D94" w:rsidRPr="00B6005A" w:rsidRDefault="00922A31" w:rsidP="00770EA8">
                <w:pPr>
                  <w:pStyle w:val="Header"/>
                  <w:spacing w:before="120" w:after="0"/>
                </w:pPr>
                <w:proofErr w:type="gramStart"/>
                <w:r>
                  <w:t>2019,Mar.</w:t>
                </w:r>
                <w:proofErr w:type="gramEnd"/>
                <w:r>
                  <w:t>03</w:t>
                </w:r>
              </w:p>
            </w:tc>
          </w:sdtContent>
        </w:sdt>
      </w:tr>
    </w:tbl>
    <w:p w14:paraId="68BE3A35" w14:textId="77777777" w:rsidR="005F5D94" w:rsidRPr="00B6005A" w:rsidRDefault="005F5D94" w:rsidP="00177966">
      <w:r w:rsidRPr="00B6005A">
        <w:br w:type="page"/>
      </w:r>
      <w:bookmarkStart w:id="2" w:name="_GoBack"/>
      <w:bookmarkEnd w:id="2"/>
    </w:p>
    <w:p w14:paraId="64CBE1BD" w14:textId="77777777" w:rsidR="003A64DF" w:rsidRPr="00B6005A" w:rsidRDefault="003A64DF">
      <w:pPr>
        <w:pStyle w:val="Titre-non-index"/>
      </w:pPr>
      <w:r w:rsidRPr="00B6005A">
        <w:lastRenderedPageBreak/>
        <w:t>Chronology Issues: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588"/>
        <w:gridCol w:w="4110"/>
        <w:gridCol w:w="2381"/>
      </w:tblGrid>
      <w:tr w:rsidR="005F5D94" w:rsidRPr="00B6005A" w14:paraId="39CFE250" w14:textId="77777777" w:rsidTr="00980281">
        <w:trPr>
          <w:tblHeader/>
        </w:trPr>
        <w:tc>
          <w:tcPr>
            <w:tcW w:w="1101" w:type="dxa"/>
          </w:tcPr>
          <w:p w14:paraId="7C9FEB5E" w14:textId="77777777" w:rsidR="005F5D94" w:rsidRPr="00B6005A" w:rsidRDefault="00171495" w:rsidP="00DB6694">
            <w:r w:rsidRPr="00B6005A">
              <w:t>Issue</w:t>
            </w:r>
            <w:r w:rsidR="005F5D94" w:rsidRPr="00B6005A">
              <w:t>:</w:t>
            </w:r>
          </w:p>
        </w:tc>
        <w:tc>
          <w:tcPr>
            <w:tcW w:w="1588" w:type="dxa"/>
          </w:tcPr>
          <w:p w14:paraId="1E1581F1" w14:textId="77777777" w:rsidR="005F5D94" w:rsidRPr="00B6005A" w:rsidRDefault="00171495" w:rsidP="00DB6694">
            <w:r w:rsidRPr="00B6005A">
              <w:t>Date</w:t>
            </w:r>
            <w:r w:rsidR="005F5D94" w:rsidRPr="00B6005A">
              <w:t xml:space="preserve">: </w:t>
            </w:r>
          </w:p>
        </w:tc>
        <w:tc>
          <w:tcPr>
            <w:tcW w:w="4110" w:type="dxa"/>
          </w:tcPr>
          <w:p w14:paraId="3A26B9B7" w14:textId="77777777" w:rsidR="005F5D94" w:rsidRPr="00B6005A" w:rsidRDefault="00171495" w:rsidP="00DB6694">
            <w:r w:rsidRPr="00B6005A">
              <w:t>Reason for change</w:t>
            </w:r>
            <w:r w:rsidR="005F5D94" w:rsidRPr="00B6005A">
              <w:t>:</w:t>
            </w:r>
          </w:p>
        </w:tc>
        <w:tc>
          <w:tcPr>
            <w:tcW w:w="2381" w:type="dxa"/>
          </w:tcPr>
          <w:p w14:paraId="7AAF8009" w14:textId="3937C1B8" w:rsidR="00D4693A" w:rsidRPr="00B6005A" w:rsidRDefault="00171495" w:rsidP="00D4693A">
            <w:r w:rsidRPr="00B6005A">
              <w:t>Author</w:t>
            </w:r>
            <w:r w:rsidR="00B40E6E">
              <w:t xml:space="preserve"> </w:t>
            </w:r>
          </w:p>
        </w:tc>
      </w:tr>
      <w:tr w:rsidR="005F5D94" w:rsidRPr="00B6005A" w14:paraId="757ED45A" w14:textId="77777777" w:rsidTr="00980281">
        <w:tc>
          <w:tcPr>
            <w:tcW w:w="1101" w:type="dxa"/>
          </w:tcPr>
          <w:p w14:paraId="7729F971" w14:textId="77777777" w:rsidR="005F5D94" w:rsidRPr="00B6005A" w:rsidRDefault="00A805E7" w:rsidP="00DB6694">
            <w:r w:rsidRPr="00B6005A">
              <w:t>0</w:t>
            </w:r>
            <w:r w:rsidR="00623D35">
              <w:t>.0</w:t>
            </w:r>
          </w:p>
        </w:tc>
        <w:tc>
          <w:tcPr>
            <w:tcW w:w="1588" w:type="dxa"/>
          </w:tcPr>
          <w:p w14:paraId="205350D9" w14:textId="184822E1" w:rsidR="005F5D94" w:rsidRPr="00B6005A" w:rsidRDefault="00D7758E" w:rsidP="006A5506">
            <w:r>
              <w:t>30</w:t>
            </w:r>
            <w:r w:rsidR="00504708">
              <w:t>/</w:t>
            </w:r>
            <w:r>
              <w:t>04</w:t>
            </w:r>
            <w:r w:rsidR="00504708">
              <w:t>/201</w:t>
            </w:r>
            <w:r>
              <w:t>8</w:t>
            </w:r>
          </w:p>
        </w:tc>
        <w:tc>
          <w:tcPr>
            <w:tcW w:w="4110" w:type="dxa"/>
          </w:tcPr>
          <w:p w14:paraId="375164C8" w14:textId="35150022" w:rsidR="005F5D94" w:rsidRPr="00B6005A" w:rsidRDefault="00504708" w:rsidP="00DB6694">
            <w:r>
              <w:t>Documentation</w:t>
            </w:r>
            <w:r w:rsidR="006B60BE">
              <w:t xml:space="preserve"> start draft outline</w:t>
            </w:r>
          </w:p>
        </w:tc>
        <w:tc>
          <w:tcPr>
            <w:tcW w:w="2381" w:type="dxa"/>
          </w:tcPr>
          <w:p w14:paraId="48941F3A" w14:textId="0C91306E" w:rsidR="00D4693A" w:rsidRPr="00B6005A" w:rsidRDefault="00273E45" w:rsidP="00007646">
            <w:r>
              <w:t>Proud</w:t>
            </w:r>
          </w:p>
        </w:tc>
      </w:tr>
      <w:tr w:rsidR="005F5D94" w:rsidRPr="00B6005A" w14:paraId="0817B4F0" w14:textId="77777777" w:rsidTr="00980281">
        <w:tc>
          <w:tcPr>
            <w:tcW w:w="1101" w:type="dxa"/>
          </w:tcPr>
          <w:p w14:paraId="1DA56A32" w14:textId="142D4EFD" w:rsidR="005F5D94" w:rsidRPr="00B6005A" w:rsidRDefault="005F5D94" w:rsidP="00DB6694"/>
        </w:tc>
        <w:tc>
          <w:tcPr>
            <w:tcW w:w="1588" w:type="dxa"/>
          </w:tcPr>
          <w:p w14:paraId="6DE7D069" w14:textId="2D71FE96" w:rsidR="005F5D94" w:rsidRPr="00B6005A" w:rsidRDefault="00A33C95" w:rsidP="006A5506">
            <w:r>
              <w:t>25/05/2018</w:t>
            </w:r>
          </w:p>
        </w:tc>
        <w:tc>
          <w:tcPr>
            <w:tcW w:w="4110" w:type="dxa"/>
          </w:tcPr>
          <w:p w14:paraId="71333A96" w14:textId="468091E5" w:rsidR="00623D35" w:rsidRPr="00B6005A" w:rsidRDefault="00A33C95" w:rsidP="006A5506">
            <w:r>
              <w:t>Edit</w:t>
            </w:r>
          </w:p>
        </w:tc>
        <w:tc>
          <w:tcPr>
            <w:tcW w:w="2381" w:type="dxa"/>
          </w:tcPr>
          <w:p w14:paraId="32B5EB7C" w14:textId="5D8A7AED" w:rsidR="00623D35" w:rsidRPr="00B6005A" w:rsidRDefault="00A33C95" w:rsidP="00DB6694">
            <w:r>
              <w:t>Brierley</w:t>
            </w:r>
          </w:p>
        </w:tc>
      </w:tr>
      <w:tr w:rsidR="005F5D94" w:rsidRPr="00B6005A" w14:paraId="3CDD3C50" w14:textId="77777777" w:rsidTr="00980281">
        <w:tc>
          <w:tcPr>
            <w:tcW w:w="1101" w:type="dxa"/>
          </w:tcPr>
          <w:p w14:paraId="10851A35" w14:textId="4B8B361C" w:rsidR="005F5D94" w:rsidRPr="00B6005A" w:rsidRDefault="00A33C95" w:rsidP="00DB6694">
            <w:r>
              <w:t>1.0</w:t>
            </w:r>
          </w:p>
        </w:tc>
        <w:tc>
          <w:tcPr>
            <w:tcW w:w="1588" w:type="dxa"/>
          </w:tcPr>
          <w:p w14:paraId="5D4B0D83" w14:textId="522A941A" w:rsidR="005F5D94" w:rsidRPr="00B6005A" w:rsidRDefault="00A33C95" w:rsidP="00DB6694">
            <w:r>
              <w:t>30/05/2018</w:t>
            </w:r>
          </w:p>
        </w:tc>
        <w:tc>
          <w:tcPr>
            <w:tcW w:w="4110" w:type="dxa"/>
          </w:tcPr>
          <w:p w14:paraId="23524584" w14:textId="524DF65A" w:rsidR="005F5D94" w:rsidRPr="00B6005A" w:rsidRDefault="00A33C95" w:rsidP="00DB6694">
            <w:r>
              <w:t xml:space="preserve">Update </w:t>
            </w:r>
          </w:p>
        </w:tc>
        <w:tc>
          <w:tcPr>
            <w:tcW w:w="2381" w:type="dxa"/>
          </w:tcPr>
          <w:p w14:paraId="26419426" w14:textId="47427CCA" w:rsidR="00EE2DB8" w:rsidRPr="00B6005A" w:rsidRDefault="00A33C95" w:rsidP="00604F6A">
            <w:r>
              <w:t>Proud, Brierley</w:t>
            </w:r>
          </w:p>
        </w:tc>
      </w:tr>
      <w:tr w:rsidR="005F5D94" w:rsidRPr="00B6005A" w14:paraId="4CD26EF9" w14:textId="77777777" w:rsidTr="00980281">
        <w:tc>
          <w:tcPr>
            <w:tcW w:w="1101" w:type="dxa"/>
          </w:tcPr>
          <w:p w14:paraId="0E5F9FFC" w14:textId="7E99D209" w:rsidR="005F5D94" w:rsidRPr="00B6005A" w:rsidRDefault="00922A31" w:rsidP="00DB6694">
            <w:r>
              <w:t>1.1</w:t>
            </w:r>
          </w:p>
        </w:tc>
        <w:tc>
          <w:tcPr>
            <w:tcW w:w="1588" w:type="dxa"/>
          </w:tcPr>
          <w:p w14:paraId="05892EA3" w14:textId="3564D748" w:rsidR="005F5D94" w:rsidRPr="00B6005A" w:rsidRDefault="00922A31" w:rsidP="00DB6694">
            <w:r>
              <w:t>03/03/2019</w:t>
            </w:r>
          </w:p>
        </w:tc>
        <w:tc>
          <w:tcPr>
            <w:tcW w:w="4110" w:type="dxa"/>
          </w:tcPr>
          <w:p w14:paraId="7ACEDD81" w14:textId="132654C6" w:rsidR="005F5D94" w:rsidRPr="00B6005A" w:rsidRDefault="00922A31" w:rsidP="00DB6694">
            <w:r>
              <w:t>Update page numbers</w:t>
            </w:r>
          </w:p>
        </w:tc>
        <w:tc>
          <w:tcPr>
            <w:tcW w:w="2381" w:type="dxa"/>
          </w:tcPr>
          <w:p w14:paraId="6D14AA34" w14:textId="427FAAF4" w:rsidR="00EE2DB8" w:rsidRPr="00B6005A" w:rsidRDefault="00922A31" w:rsidP="00EE2DB8">
            <w:r>
              <w:t>Proud</w:t>
            </w:r>
          </w:p>
        </w:tc>
      </w:tr>
      <w:tr w:rsidR="005F5D94" w:rsidRPr="00B6005A" w14:paraId="7041FB5A" w14:textId="77777777" w:rsidTr="00980281">
        <w:tc>
          <w:tcPr>
            <w:tcW w:w="1101" w:type="dxa"/>
          </w:tcPr>
          <w:p w14:paraId="3FF81774" w14:textId="55874BFE" w:rsidR="005F5D94" w:rsidRPr="00B6005A" w:rsidRDefault="005F5D94" w:rsidP="00DB6694"/>
        </w:tc>
        <w:tc>
          <w:tcPr>
            <w:tcW w:w="1588" w:type="dxa"/>
          </w:tcPr>
          <w:p w14:paraId="2BA8A48B" w14:textId="4EDB7E40" w:rsidR="005F5D94" w:rsidRPr="00B6005A" w:rsidRDefault="005F5D94" w:rsidP="00DB6694"/>
        </w:tc>
        <w:tc>
          <w:tcPr>
            <w:tcW w:w="4110" w:type="dxa"/>
          </w:tcPr>
          <w:p w14:paraId="7FBD3572" w14:textId="4F8C27B1" w:rsidR="005F5D94" w:rsidRPr="00F52A7A" w:rsidRDefault="005F5D94" w:rsidP="00DB6694"/>
        </w:tc>
        <w:tc>
          <w:tcPr>
            <w:tcW w:w="2381" w:type="dxa"/>
          </w:tcPr>
          <w:p w14:paraId="18B84529" w14:textId="742877E3" w:rsidR="00887082" w:rsidRPr="00B6005A" w:rsidRDefault="00887082" w:rsidP="00DB6694"/>
        </w:tc>
      </w:tr>
      <w:tr w:rsidR="005F5D94" w:rsidRPr="00B6005A" w14:paraId="55D1DFA5" w14:textId="77777777" w:rsidTr="00980281">
        <w:tc>
          <w:tcPr>
            <w:tcW w:w="1101" w:type="dxa"/>
          </w:tcPr>
          <w:p w14:paraId="2E549426" w14:textId="77777777" w:rsidR="005F5D94" w:rsidRPr="00B6005A" w:rsidRDefault="005F5D94" w:rsidP="00DB6694"/>
        </w:tc>
        <w:tc>
          <w:tcPr>
            <w:tcW w:w="1588" w:type="dxa"/>
          </w:tcPr>
          <w:p w14:paraId="7DC4315F" w14:textId="77777777" w:rsidR="005F5D94" w:rsidRPr="00B6005A" w:rsidRDefault="005F5D94" w:rsidP="00DB6694"/>
        </w:tc>
        <w:tc>
          <w:tcPr>
            <w:tcW w:w="4110" w:type="dxa"/>
          </w:tcPr>
          <w:p w14:paraId="6AA6F2DC" w14:textId="77777777" w:rsidR="005F5D94" w:rsidRPr="00B6005A" w:rsidRDefault="005F5D94" w:rsidP="00DB6694"/>
        </w:tc>
        <w:tc>
          <w:tcPr>
            <w:tcW w:w="2381" w:type="dxa"/>
          </w:tcPr>
          <w:p w14:paraId="21BFCAC0" w14:textId="77777777" w:rsidR="005F5D94" w:rsidRPr="00B6005A" w:rsidRDefault="005F5D94" w:rsidP="00DB6694"/>
        </w:tc>
      </w:tr>
    </w:tbl>
    <w:p w14:paraId="6F7DAA1C" w14:textId="77777777" w:rsidR="005F5D94" w:rsidRPr="00DB6694" w:rsidRDefault="005F5D94"/>
    <w:p w14:paraId="42F3E6F6" w14:textId="77777777" w:rsidR="003A64DF" w:rsidRPr="00B6005A" w:rsidRDefault="003A64DF">
      <w:pPr>
        <w:pStyle w:val="Titre-non-index"/>
      </w:pPr>
      <w:r w:rsidRPr="00B6005A">
        <w:t>Distribution:</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3"/>
        <w:gridCol w:w="2397"/>
        <w:gridCol w:w="4560"/>
      </w:tblGrid>
      <w:tr w:rsidR="005F5D94" w:rsidRPr="00B6005A" w14:paraId="0A5ADA07" w14:textId="77777777" w:rsidTr="00075830">
        <w:trPr>
          <w:tblHeader/>
        </w:trPr>
        <w:tc>
          <w:tcPr>
            <w:tcW w:w="2223" w:type="dxa"/>
          </w:tcPr>
          <w:p w14:paraId="21F04FB3" w14:textId="77777777" w:rsidR="005F5D94" w:rsidRPr="00B6005A" w:rsidRDefault="00E8529B" w:rsidP="00DB6694">
            <w:r w:rsidRPr="00B6005A">
              <w:t>Company</w:t>
            </w:r>
          </w:p>
        </w:tc>
        <w:tc>
          <w:tcPr>
            <w:tcW w:w="2397" w:type="dxa"/>
          </w:tcPr>
          <w:p w14:paraId="1B2E41D3" w14:textId="77777777" w:rsidR="005F5D94" w:rsidRPr="00B6005A" w:rsidRDefault="00E8529B" w:rsidP="00DB6694">
            <w:r w:rsidRPr="00B6005A">
              <w:t>Means of distribution</w:t>
            </w:r>
          </w:p>
        </w:tc>
        <w:tc>
          <w:tcPr>
            <w:tcW w:w="4560" w:type="dxa"/>
          </w:tcPr>
          <w:p w14:paraId="589FED2E" w14:textId="77777777" w:rsidR="005F5D94" w:rsidRPr="00B6005A" w:rsidRDefault="00E8529B" w:rsidP="00DB6694">
            <w:r w:rsidRPr="00B6005A">
              <w:t>Name</w:t>
            </w:r>
            <w:r w:rsidR="005F5D94" w:rsidRPr="00B6005A">
              <w:t>s</w:t>
            </w:r>
          </w:p>
        </w:tc>
      </w:tr>
      <w:tr w:rsidR="005F5D94" w:rsidRPr="00B6005A" w14:paraId="4DC5AE74" w14:textId="77777777" w:rsidTr="00075830">
        <w:trPr>
          <w:trHeight w:val="1134"/>
        </w:trPr>
        <w:tc>
          <w:tcPr>
            <w:tcW w:w="2223" w:type="dxa"/>
          </w:tcPr>
          <w:p w14:paraId="529189F9" w14:textId="77777777" w:rsidR="00A805E7" w:rsidRPr="00B6005A" w:rsidRDefault="00A805E7" w:rsidP="00012ACB">
            <w:pPr>
              <w:jc w:val="left"/>
            </w:pPr>
            <w:r w:rsidRPr="00B6005A">
              <w:t>All MESOPP partners</w:t>
            </w:r>
          </w:p>
        </w:tc>
        <w:tc>
          <w:tcPr>
            <w:tcW w:w="2397" w:type="dxa"/>
          </w:tcPr>
          <w:p w14:paraId="3466F00C" w14:textId="77777777" w:rsidR="005F5D94" w:rsidRPr="00B6005A" w:rsidRDefault="005F5D94" w:rsidP="00012ACB">
            <w:pPr>
              <w:jc w:val="left"/>
            </w:pPr>
            <w:r w:rsidRPr="00B6005A">
              <w:t>Notification</w:t>
            </w:r>
            <w:r w:rsidR="00A805E7" w:rsidRPr="00B6005A">
              <w:t xml:space="preserve"> and </w:t>
            </w:r>
            <w:proofErr w:type="spellStart"/>
            <w:r w:rsidR="00A805E7" w:rsidRPr="00B6005A">
              <w:t>sharepoint</w:t>
            </w:r>
            <w:proofErr w:type="spellEnd"/>
          </w:p>
        </w:tc>
        <w:tc>
          <w:tcPr>
            <w:tcW w:w="4560" w:type="dxa"/>
          </w:tcPr>
          <w:p w14:paraId="6C13C6FC" w14:textId="77777777" w:rsidR="005F5D94" w:rsidRPr="00B6005A" w:rsidRDefault="005F5D94" w:rsidP="00DB6694"/>
        </w:tc>
      </w:tr>
    </w:tbl>
    <w:p w14:paraId="33C26A30" w14:textId="77777777" w:rsidR="005F5D94" w:rsidRPr="00DB6694" w:rsidRDefault="005F5D94" w:rsidP="00DB6694"/>
    <w:p w14:paraId="104408C6" w14:textId="77777777" w:rsidR="00F21EBE" w:rsidRPr="009439A6" w:rsidRDefault="00F21EBE" w:rsidP="00F21EBE">
      <w:pPr>
        <w:pStyle w:val="Titre-non-index"/>
      </w:pPr>
      <w:bookmarkStart w:id="3" w:name="_Hlk2176921"/>
      <w:r>
        <w:t>This report can be cited as follows:</w:t>
      </w:r>
    </w:p>
    <w:bookmarkEnd w:id="3"/>
    <w:p w14:paraId="1D115CB0" w14:textId="77777777" w:rsidR="00F21EBE" w:rsidRDefault="00F21EBE" w:rsidP="00F21EBE"/>
    <w:p w14:paraId="4470894E" w14:textId="1BC0560F" w:rsidR="005F5D94" w:rsidRPr="00DB6694" w:rsidRDefault="00F21EBE" w:rsidP="00177966">
      <w:r w:rsidRPr="00F21EBE">
        <w:t>Proud R., Brierley A. S. (2018). Modelisation of potential habitats of the main mesopelagic fish according to environmental parameters. Report from the EU-H2020 MESOPP project, MESOPP-18-0004</w:t>
      </w:r>
      <w:r w:rsidR="0079059F">
        <w:t>.</w:t>
      </w:r>
      <w:r w:rsidRPr="00F21EBE">
        <w:t xml:space="preserve"> 2</w:t>
      </w:r>
      <w:r w:rsidR="002D710F">
        <w:t>6</w:t>
      </w:r>
      <w:r w:rsidRPr="00F21EBE">
        <w:t xml:space="preserve"> pp.</w:t>
      </w:r>
      <w:r w:rsidR="005F5D94" w:rsidRPr="00DB6694">
        <w:br w:type="page"/>
      </w:r>
    </w:p>
    <w:p w14:paraId="2C505552" w14:textId="77777777" w:rsidR="003A64DF" w:rsidRPr="00B6005A" w:rsidRDefault="003A64DF">
      <w:pPr>
        <w:pStyle w:val="Titre-non-index"/>
      </w:pPr>
      <w:r w:rsidRPr="00B6005A">
        <w:lastRenderedPageBreak/>
        <w:t>List of tables and figures</w:t>
      </w:r>
    </w:p>
    <w:p w14:paraId="20E5F86B" w14:textId="77777777" w:rsidR="003A64DF" w:rsidRPr="00DB6694" w:rsidRDefault="003A64DF"/>
    <w:p w14:paraId="14F13647" w14:textId="184958A4" w:rsidR="00FA2B2A" w:rsidRDefault="00FA2B2A" w:rsidP="00EE561D">
      <w:pPr>
        <w:pStyle w:val="Sous-titrenonindex"/>
      </w:pPr>
      <w:r>
        <w:t>List of Figures:</w:t>
      </w:r>
    </w:p>
    <w:p w14:paraId="0F0337AF" w14:textId="7D5903F2" w:rsidR="00922A31" w:rsidRDefault="00FA2B2A">
      <w:pPr>
        <w:pStyle w:val="TableofFigures"/>
        <w:rPr>
          <w:rFonts w:eastAsiaTheme="minorEastAsia" w:cstheme="minorBidi"/>
          <w:b w:val="0"/>
          <w:bCs w:val="0"/>
          <w:sz w:val="22"/>
          <w:szCs w:val="22"/>
          <w:lang w:eastAsia="ja-JP"/>
        </w:rPr>
      </w:pPr>
      <w:r>
        <w:fldChar w:fldCharType="begin"/>
      </w:r>
      <w:r>
        <w:instrText xml:space="preserve"> TOC \h \z \t "Caption2" \c </w:instrText>
      </w:r>
      <w:r>
        <w:fldChar w:fldCharType="separate"/>
      </w:r>
      <w:hyperlink w:anchor="_Toc2505306" w:history="1">
        <w:r w:rsidR="00922A31" w:rsidRPr="008400EB">
          <w:rPr>
            <w:rStyle w:val="Hyperlink"/>
            <w:rFonts w:eastAsia="Arial"/>
          </w:rPr>
          <w:t xml:space="preserve">Figure 1 Southern Ocean mesopelagic biogeography. Adapted from Proud et al. (2017). Colourmap is divided into 10 uniform colours, each representing a single biomass class. </w:t>
        </w:r>
        <w:r w:rsidR="00922A31" w:rsidRPr="008400EB">
          <w:rPr>
            <w:rStyle w:val="Hyperlink"/>
          </w:rPr>
          <w:t>Ross Sea and South Orkney Islands Southern shelf MPAs indicated by magenta outline.</w:t>
        </w:r>
        <w:r w:rsidR="00922A31">
          <w:rPr>
            <w:webHidden/>
          </w:rPr>
          <w:tab/>
        </w:r>
        <w:r w:rsidR="00922A31">
          <w:rPr>
            <w:webHidden/>
          </w:rPr>
          <w:fldChar w:fldCharType="begin"/>
        </w:r>
        <w:r w:rsidR="00922A31">
          <w:rPr>
            <w:webHidden/>
          </w:rPr>
          <w:instrText xml:space="preserve"> PAGEREF _Toc2505306 \h </w:instrText>
        </w:r>
        <w:r w:rsidR="00922A31">
          <w:rPr>
            <w:webHidden/>
          </w:rPr>
        </w:r>
        <w:r w:rsidR="00922A31">
          <w:rPr>
            <w:webHidden/>
          </w:rPr>
          <w:fldChar w:fldCharType="separate"/>
        </w:r>
        <w:r w:rsidR="00922A31">
          <w:rPr>
            <w:webHidden/>
          </w:rPr>
          <w:t>9</w:t>
        </w:r>
        <w:r w:rsidR="00922A31">
          <w:rPr>
            <w:webHidden/>
          </w:rPr>
          <w:fldChar w:fldCharType="end"/>
        </w:r>
      </w:hyperlink>
    </w:p>
    <w:p w14:paraId="097BDC71" w14:textId="65FB4DB8" w:rsidR="00922A31" w:rsidRDefault="00922A31">
      <w:pPr>
        <w:pStyle w:val="TableofFigures"/>
        <w:rPr>
          <w:rFonts w:eastAsiaTheme="minorEastAsia" w:cstheme="minorBidi"/>
          <w:b w:val="0"/>
          <w:bCs w:val="0"/>
          <w:sz w:val="22"/>
          <w:szCs w:val="22"/>
          <w:lang w:eastAsia="ja-JP"/>
        </w:rPr>
      </w:pPr>
      <w:hyperlink w:anchor="_Toc2505307" w:history="1">
        <w:r w:rsidRPr="008400EB">
          <w:rPr>
            <w:rStyle w:val="Hyperlink"/>
          </w:rPr>
          <w:t>Figure 2 Southern Ocean environment. Red lines mark Orsi et al. (1995) mean frontal boundaries of Polar front, Subantarctic front and Subtropical front, which increase in latitude from the continent respectively. Light blue shading and white line denote minimum and maximum sea-ice extent respectively. Ross Sea and South Orkney Islands Southern shelf MPAs indicated by magenta outline.</w:t>
        </w:r>
        <w:r>
          <w:rPr>
            <w:webHidden/>
          </w:rPr>
          <w:tab/>
        </w:r>
        <w:r>
          <w:rPr>
            <w:webHidden/>
          </w:rPr>
          <w:fldChar w:fldCharType="begin"/>
        </w:r>
        <w:r>
          <w:rPr>
            <w:webHidden/>
          </w:rPr>
          <w:instrText xml:space="preserve"> PAGEREF _Toc2505307 \h </w:instrText>
        </w:r>
        <w:r>
          <w:rPr>
            <w:webHidden/>
          </w:rPr>
        </w:r>
        <w:r>
          <w:rPr>
            <w:webHidden/>
          </w:rPr>
          <w:fldChar w:fldCharType="separate"/>
        </w:r>
        <w:r>
          <w:rPr>
            <w:webHidden/>
          </w:rPr>
          <w:t>10</w:t>
        </w:r>
        <w:r>
          <w:rPr>
            <w:webHidden/>
          </w:rPr>
          <w:fldChar w:fldCharType="end"/>
        </w:r>
      </w:hyperlink>
    </w:p>
    <w:p w14:paraId="6FC48070" w14:textId="3BD6D14D" w:rsidR="00922A31" w:rsidRDefault="00922A31">
      <w:pPr>
        <w:pStyle w:val="TableofFigures"/>
        <w:rPr>
          <w:rFonts w:eastAsiaTheme="minorEastAsia" w:cstheme="minorBidi"/>
          <w:b w:val="0"/>
          <w:bCs w:val="0"/>
          <w:sz w:val="22"/>
          <w:szCs w:val="22"/>
          <w:lang w:eastAsia="ja-JP"/>
        </w:rPr>
      </w:pPr>
      <w:hyperlink w:anchor="_Toc2505308" w:history="1">
        <w:r w:rsidRPr="008400EB">
          <w:rPr>
            <w:rStyle w:val="Hyperlink"/>
          </w:rPr>
          <w:t>Figure 3 Southern Ocean extent. Colormap is primary production (PP, g C m</w:t>
        </w:r>
        <w:r w:rsidRPr="008400EB">
          <w:rPr>
            <w:rStyle w:val="Hyperlink"/>
            <w:vertAlign w:val="superscript"/>
          </w:rPr>
          <w:t>-2</w:t>
        </w:r>
        <w:r w:rsidRPr="008400EB">
          <w:rPr>
            <w:rStyle w:val="Hyperlink"/>
          </w:rPr>
          <w:t xml:space="preserve"> day</w:t>
        </w:r>
        <w:r w:rsidRPr="008400EB">
          <w:rPr>
            <w:rStyle w:val="Hyperlink"/>
            <w:vertAlign w:val="superscript"/>
          </w:rPr>
          <w:t>-1</w:t>
        </w:r>
        <w:r w:rsidRPr="008400EB">
          <w:rPr>
            <w:rStyle w:val="Hyperlink"/>
          </w:rPr>
          <w:t>) multiplied by temperature at the principal deep scattering layer depth (T</w:t>
        </w:r>
        <w:r w:rsidRPr="008400EB">
          <w:rPr>
            <w:rStyle w:val="Hyperlink"/>
            <w:vertAlign w:val="subscript"/>
          </w:rPr>
          <w:t>PDSL</w:t>
        </w:r>
        <w:r w:rsidRPr="008400EB">
          <w:rPr>
            <w:rStyle w:val="Hyperlink"/>
          </w:rPr>
          <w:t xml:space="preserve">, </w:t>
        </w:r>
        <w:r w:rsidRPr="008400EB">
          <w:rPr>
            <w:rStyle w:val="Hyperlink"/>
            <w:rFonts w:cstheme="minorHAnsi"/>
          </w:rPr>
          <w:t>°</w:t>
        </w:r>
        <w:r w:rsidRPr="008400EB">
          <w:rPr>
            <w:rStyle w:val="Hyperlink"/>
          </w:rPr>
          <w:t>C). The white line indicates the far-extent of winter sea-ice and the black line marks the extent of the Southern Ocean mesopelagic boundary. Light blue shading indicates minimum sea-ice coverage. Ross Sea and South Orkney Islands Southern shelf MPAs indicated by magenta outline.</w:t>
        </w:r>
        <w:r>
          <w:rPr>
            <w:webHidden/>
          </w:rPr>
          <w:tab/>
        </w:r>
        <w:r>
          <w:rPr>
            <w:webHidden/>
          </w:rPr>
          <w:fldChar w:fldCharType="begin"/>
        </w:r>
        <w:r>
          <w:rPr>
            <w:webHidden/>
          </w:rPr>
          <w:instrText xml:space="preserve"> PAGEREF _Toc2505308 \h </w:instrText>
        </w:r>
        <w:r>
          <w:rPr>
            <w:webHidden/>
          </w:rPr>
        </w:r>
        <w:r>
          <w:rPr>
            <w:webHidden/>
          </w:rPr>
          <w:fldChar w:fldCharType="separate"/>
        </w:r>
        <w:r>
          <w:rPr>
            <w:webHidden/>
          </w:rPr>
          <w:t>12</w:t>
        </w:r>
        <w:r>
          <w:rPr>
            <w:webHidden/>
          </w:rPr>
          <w:fldChar w:fldCharType="end"/>
        </w:r>
      </w:hyperlink>
    </w:p>
    <w:p w14:paraId="60803B07" w14:textId="57F581DD" w:rsidR="00922A31" w:rsidRDefault="00922A31">
      <w:pPr>
        <w:pStyle w:val="TableofFigures"/>
        <w:rPr>
          <w:rFonts w:eastAsiaTheme="minorEastAsia" w:cstheme="minorBidi"/>
          <w:b w:val="0"/>
          <w:bCs w:val="0"/>
          <w:sz w:val="22"/>
          <w:szCs w:val="22"/>
          <w:lang w:eastAsia="ja-JP"/>
        </w:rPr>
      </w:pPr>
      <w:hyperlink w:anchor="_Toc2505309" w:history="1">
        <w:r w:rsidRPr="008400EB">
          <w:rPr>
            <w:rStyle w:val="Hyperlink"/>
          </w:rPr>
          <w:t>Figure 4 Model selection for k-means clustering of gridded values of primary production and temperature at the depth of the principal deep scattering layer (T</w:t>
        </w:r>
        <w:r w:rsidRPr="008400EB">
          <w:rPr>
            <w:rStyle w:val="Hyperlink"/>
            <w:vertAlign w:val="subscript"/>
          </w:rPr>
          <w:t>PDSL</w:t>
        </w:r>
        <w:r w:rsidRPr="008400EB">
          <w:rPr>
            <w:rStyle w:val="Hyperlink"/>
          </w:rPr>
          <w:t>). Number of clusters represents number of mesopelagic fish classes. Each class is then further broken up into spatially-distinct mesopelagic fish habitats. Optimum cluster/class frequencies were selected (red points) where the change in the BIC reached a minimum, indicating a better than average fit of the underlying data into the cluster arrangement.</w:t>
        </w:r>
        <w:r>
          <w:rPr>
            <w:webHidden/>
          </w:rPr>
          <w:tab/>
        </w:r>
        <w:r>
          <w:rPr>
            <w:webHidden/>
          </w:rPr>
          <w:fldChar w:fldCharType="begin"/>
        </w:r>
        <w:r>
          <w:rPr>
            <w:webHidden/>
          </w:rPr>
          <w:instrText xml:space="preserve"> PAGEREF _Toc2505309 \h </w:instrText>
        </w:r>
        <w:r>
          <w:rPr>
            <w:webHidden/>
          </w:rPr>
        </w:r>
        <w:r>
          <w:rPr>
            <w:webHidden/>
          </w:rPr>
          <w:fldChar w:fldCharType="separate"/>
        </w:r>
        <w:r>
          <w:rPr>
            <w:webHidden/>
          </w:rPr>
          <w:t>14</w:t>
        </w:r>
        <w:r>
          <w:rPr>
            <w:webHidden/>
          </w:rPr>
          <w:fldChar w:fldCharType="end"/>
        </w:r>
      </w:hyperlink>
    </w:p>
    <w:p w14:paraId="32655C94" w14:textId="306E58FE" w:rsidR="00922A31" w:rsidRDefault="00922A31">
      <w:pPr>
        <w:pStyle w:val="TableofFigures"/>
        <w:rPr>
          <w:rFonts w:eastAsiaTheme="minorEastAsia" w:cstheme="minorBidi"/>
          <w:b w:val="0"/>
          <w:bCs w:val="0"/>
          <w:sz w:val="22"/>
          <w:szCs w:val="22"/>
          <w:lang w:eastAsia="ja-JP"/>
        </w:rPr>
      </w:pPr>
      <w:hyperlink w:anchor="_Toc2505310" w:history="1">
        <w:r w:rsidRPr="008400EB">
          <w:rPr>
            <w:rStyle w:val="Hyperlink"/>
          </w:rPr>
          <w:t>Figure 5 Four-class Southern Ocean mesopelagic fish habitat model. MPAs indicated by magenta line. Minimum sea-ice extent shown by light-blue shading and maximum sea-ice extent indicated by white line.</w:t>
        </w:r>
        <w:r>
          <w:rPr>
            <w:webHidden/>
          </w:rPr>
          <w:tab/>
        </w:r>
        <w:r>
          <w:rPr>
            <w:webHidden/>
          </w:rPr>
          <w:fldChar w:fldCharType="begin"/>
        </w:r>
        <w:r>
          <w:rPr>
            <w:webHidden/>
          </w:rPr>
          <w:instrText xml:space="preserve"> PAGEREF _Toc2505310 \h </w:instrText>
        </w:r>
        <w:r>
          <w:rPr>
            <w:webHidden/>
          </w:rPr>
        </w:r>
        <w:r>
          <w:rPr>
            <w:webHidden/>
          </w:rPr>
          <w:fldChar w:fldCharType="separate"/>
        </w:r>
        <w:r>
          <w:rPr>
            <w:webHidden/>
          </w:rPr>
          <w:t>15</w:t>
        </w:r>
        <w:r>
          <w:rPr>
            <w:webHidden/>
          </w:rPr>
          <w:fldChar w:fldCharType="end"/>
        </w:r>
      </w:hyperlink>
    </w:p>
    <w:p w14:paraId="759D55DB" w14:textId="740C0946" w:rsidR="00922A31" w:rsidRDefault="00922A31">
      <w:pPr>
        <w:pStyle w:val="TableofFigures"/>
        <w:rPr>
          <w:rFonts w:eastAsiaTheme="minorEastAsia" w:cstheme="minorBidi"/>
          <w:b w:val="0"/>
          <w:bCs w:val="0"/>
          <w:sz w:val="22"/>
          <w:szCs w:val="22"/>
          <w:lang w:eastAsia="ja-JP"/>
        </w:rPr>
      </w:pPr>
      <w:hyperlink w:anchor="_Toc2505311" w:history="1">
        <w:r w:rsidRPr="008400EB">
          <w:rPr>
            <w:rStyle w:val="Hyperlink"/>
          </w:rPr>
          <w:t>Figure 6 Twenty-three-class Southern Ocean mesopelagic fish habitat model. MPAs indicated by magenta line. Minimum sea-ice extent shown by light-blue shading and maximum sea-ice extent indicated by white line.</w:t>
        </w:r>
        <w:r>
          <w:rPr>
            <w:webHidden/>
          </w:rPr>
          <w:tab/>
        </w:r>
        <w:r>
          <w:rPr>
            <w:webHidden/>
          </w:rPr>
          <w:fldChar w:fldCharType="begin"/>
        </w:r>
        <w:r>
          <w:rPr>
            <w:webHidden/>
          </w:rPr>
          <w:instrText xml:space="preserve"> PAGEREF _Toc2505311 \h </w:instrText>
        </w:r>
        <w:r>
          <w:rPr>
            <w:webHidden/>
          </w:rPr>
        </w:r>
        <w:r>
          <w:rPr>
            <w:webHidden/>
          </w:rPr>
          <w:fldChar w:fldCharType="separate"/>
        </w:r>
        <w:r>
          <w:rPr>
            <w:webHidden/>
          </w:rPr>
          <w:t>16</w:t>
        </w:r>
        <w:r>
          <w:rPr>
            <w:webHidden/>
          </w:rPr>
          <w:fldChar w:fldCharType="end"/>
        </w:r>
      </w:hyperlink>
    </w:p>
    <w:p w14:paraId="2FF3A653" w14:textId="6A1A5CD9" w:rsidR="00922A31" w:rsidRDefault="00922A31">
      <w:pPr>
        <w:pStyle w:val="TableofFigures"/>
        <w:rPr>
          <w:rFonts w:eastAsiaTheme="minorEastAsia" w:cstheme="minorBidi"/>
          <w:b w:val="0"/>
          <w:bCs w:val="0"/>
          <w:sz w:val="22"/>
          <w:szCs w:val="22"/>
          <w:lang w:eastAsia="ja-JP"/>
        </w:rPr>
      </w:pPr>
      <w:hyperlink w:anchor="_Toc2505312" w:history="1">
        <w:r w:rsidRPr="008400EB">
          <w:rPr>
            <w:rStyle w:val="Hyperlink"/>
          </w:rPr>
          <w:t>Figure A1 Seven-class Southern Ocean mesopelagic fish habitat model. MPAs indicated by magenta line. Minimum sea-ice extent shown by light-blue shading and maximum sea-ice extent indicated by white line.</w:t>
        </w:r>
        <w:r>
          <w:rPr>
            <w:webHidden/>
          </w:rPr>
          <w:tab/>
        </w:r>
        <w:r>
          <w:rPr>
            <w:webHidden/>
          </w:rPr>
          <w:fldChar w:fldCharType="begin"/>
        </w:r>
        <w:r>
          <w:rPr>
            <w:webHidden/>
          </w:rPr>
          <w:instrText xml:space="preserve"> PAGEREF _Toc2505312 \h </w:instrText>
        </w:r>
        <w:r>
          <w:rPr>
            <w:webHidden/>
          </w:rPr>
        </w:r>
        <w:r>
          <w:rPr>
            <w:webHidden/>
          </w:rPr>
          <w:fldChar w:fldCharType="separate"/>
        </w:r>
        <w:r>
          <w:rPr>
            <w:webHidden/>
          </w:rPr>
          <w:t>22</w:t>
        </w:r>
        <w:r>
          <w:rPr>
            <w:webHidden/>
          </w:rPr>
          <w:fldChar w:fldCharType="end"/>
        </w:r>
      </w:hyperlink>
    </w:p>
    <w:p w14:paraId="31408A0E" w14:textId="5398B84E" w:rsidR="00922A31" w:rsidRDefault="00922A31">
      <w:pPr>
        <w:pStyle w:val="TableofFigures"/>
        <w:rPr>
          <w:rFonts w:eastAsiaTheme="minorEastAsia" w:cstheme="minorBidi"/>
          <w:b w:val="0"/>
          <w:bCs w:val="0"/>
          <w:sz w:val="22"/>
          <w:szCs w:val="22"/>
          <w:lang w:eastAsia="ja-JP"/>
        </w:rPr>
      </w:pPr>
      <w:hyperlink w:anchor="_Toc2505313" w:history="1">
        <w:r w:rsidRPr="008400EB">
          <w:rPr>
            <w:rStyle w:val="Hyperlink"/>
          </w:rPr>
          <w:t>Figure A2 Eleven-class Southern Ocean mesopelagic fish habitat model. MPAs indicated by magenta line. Minimum sea-ice extent shown by light-blue shading and maximum sea-ice extent indicated by white line.</w:t>
        </w:r>
        <w:r>
          <w:rPr>
            <w:webHidden/>
          </w:rPr>
          <w:tab/>
        </w:r>
        <w:r>
          <w:rPr>
            <w:webHidden/>
          </w:rPr>
          <w:fldChar w:fldCharType="begin"/>
        </w:r>
        <w:r>
          <w:rPr>
            <w:webHidden/>
          </w:rPr>
          <w:instrText xml:space="preserve"> PAGEREF _Toc2505313 \h </w:instrText>
        </w:r>
        <w:r>
          <w:rPr>
            <w:webHidden/>
          </w:rPr>
        </w:r>
        <w:r>
          <w:rPr>
            <w:webHidden/>
          </w:rPr>
          <w:fldChar w:fldCharType="separate"/>
        </w:r>
        <w:r>
          <w:rPr>
            <w:webHidden/>
          </w:rPr>
          <w:t>23</w:t>
        </w:r>
        <w:r>
          <w:rPr>
            <w:webHidden/>
          </w:rPr>
          <w:fldChar w:fldCharType="end"/>
        </w:r>
      </w:hyperlink>
    </w:p>
    <w:p w14:paraId="13FD1501" w14:textId="34A8F362" w:rsidR="00922A31" w:rsidRDefault="00922A31">
      <w:pPr>
        <w:pStyle w:val="TableofFigures"/>
        <w:rPr>
          <w:rFonts w:eastAsiaTheme="minorEastAsia" w:cstheme="minorBidi"/>
          <w:b w:val="0"/>
          <w:bCs w:val="0"/>
          <w:sz w:val="22"/>
          <w:szCs w:val="22"/>
          <w:lang w:eastAsia="ja-JP"/>
        </w:rPr>
      </w:pPr>
      <w:hyperlink w:anchor="_Toc2505314" w:history="1">
        <w:r w:rsidRPr="008400EB">
          <w:rPr>
            <w:rStyle w:val="Hyperlink"/>
          </w:rPr>
          <w:t>Figure A3 Thirteen-class Southern Ocean mesopelagic fish habitat model. MPAs indicated by magenta line. Minimum sea-ice extent shown by light-blue shading and maximum sea-ice extent indicated by white line.</w:t>
        </w:r>
        <w:r>
          <w:rPr>
            <w:webHidden/>
          </w:rPr>
          <w:tab/>
        </w:r>
        <w:r>
          <w:rPr>
            <w:webHidden/>
          </w:rPr>
          <w:fldChar w:fldCharType="begin"/>
        </w:r>
        <w:r>
          <w:rPr>
            <w:webHidden/>
          </w:rPr>
          <w:instrText xml:space="preserve"> PAGEREF _Toc2505314 \h </w:instrText>
        </w:r>
        <w:r>
          <w:rPr>
            <w:webHidden/>
          </w:rPr>
        </w:r>
        <w:r>
          <w:rPr>
            <w:webHidden/>
          </w:rPr>
          <w:fldChar w:fldCharType="separate"/>
        </w:r>
        <w:r>
          <w:rPr>
            <w:webHidden/>
          </w:rPr>
          <w:t>24</w:t>
        </w:r>
        <w:r>
          <w:rPr>
            <w:webHidden/>
          </w:rPr>
          <w:fldChar w:fldCharType="end"/>
        </w:r>
      </w:hyperlink>
    </w:p>
    <w:p w14:paraId="6F1B79A3" w14:textId="6AC9ED38" w:rsidR="00922A31" w:rsidRDefault="00922A31">
      <w:pPr>
        <w:pStyle w:val="TableofFigures"/>
        <w:rPr>
          <w:rFonts w:eastAsiaTheme="minorEastAsia" w:cstheme="minorBidi"/>
          <w:b w:val="0"/>
          <w:bCs w:val="0"/>
          <w:sz w:val="22"/>
          <w:szCs w:val="22"/>
          <w:lang w:eastAsia="ja-JP"/>
        </w:rPr>
      </w:pPr>
      <w:hyperlink w:anchor="_Toc2505315" w:history="1">
        <w:r w:rsidRPr="008400EB">
          <w:rPr>
            <w:rStyle w:val="Hyperlink"/>
          </w:rPr>
          <w:t>Figure A4 Fifteen-class Southern Ocean mesopelagic fish habitat model. MPAs indicated by magenta line. Minimum sea-ice extent shown by light-blue shading and maximum sea-ice extent indicated by white line.</w:t>
        </w:r>
        <w:r>
          <w:rPr>
            <w:webHidden/>
          </w:rPr>
          <w:tab/>
        </w:r>
        <w:r>
          <w:rPr>
            <w:webHidden/>
          </w:rPr>
          <w:fldChar w:fldCharType="begin"/>
        </w:r>
        <w:r>
          <w:rPr>
            <w:webHidden/>
          </w:rPr>
          <w:instrText xml:space="preserve"> PAGEREF _Toc2505315 \h </w:instrText>
        </w:r>
        <w:r>
          <w:rPr>
            <w:webHidden/>
          </w:rPr>
        </w:r>
        <w:r>
          <w:rPr>
            <w:webHidden/>
          </w:rPr>
          <w:fldChar w:fldCharType="separate"/>
        </w:r>
        <w:r>
          <w:rPr>
            <w:webHidden/>
          </w:rPr>
          <w:t>25</w:t>
        </w:r>
        <w:r>
          <w:rPr>
            <w:webHidden/>
          </w:rPr>
          <w:fldChar w:fldCharType="end"/>
        </w:r>
      </w:hyperlink>
    </w:p>
    <w:p w14:paraId="122F8950" w14:textId="07381ED3" w:rsidR="00FA2B2A" w:rsidRDefault="00FA2B2A" w:rsidP="00EE561D">
      <w:pPr>
        <w:pStyle w:val="Caption2"/>
        <w:jc w:val="both"/>
      </w:pPr>
      <w:r>
        <w:fldChar w:fldCharType="end"/>
      </w:r>
    </w:p>
    <w:p w14:paraId="4A6E34A2" w14:textId="50CE3762" w:rsidR="005F5D94" w:rsidRPr="00177966" w:rsidRDefault="005F5D94" w:rsidP="00DB6694">
      <w:pPr>
        <w:rPr>
          <w:lang w:val="en-US"/>
        </w:rPr>
      </w:pPr>
      <w:r w:rsidRPr="00DB6694">
        <w:rPr>
          <w:lang w:val="en-US"/>
        </w:rPr>
        <w:br w:type="page"/>
      </w:r>
    </w:p>
    <w:p w14:paraId="00E5FDCD" w14:textId="77777777" w:rsidR="003A64DF" w:rsidRPr="00B6005A" w:rsidRDefault="003A64DF">
      <w:pPr>
        <w:pStyle w:val="Titre-non-index"/>
      </w:pPr>
      <w:r w:rsidRPr="00B6005A">
        <w:lastRenderedPageBreak/>
        <w:t>List of Contents</w:t>
      </w:r>
    </w:p>
    <w:p w14:paraId="249A4CDB" w14:textId="3D9B319C" w:rsidR="00922A31" w:rsidRDefault="009317D6">
      <w:pPr>
        <w:pStyle w:val="TOC1"/>
        <w:rPr>
          <w:rFonts w:asciiTheme="minorHAnsi" w:eastAsiaTheme="minorEastAsia" w:hAnsiTheme="minorHAnsi" w:cstheme="minorBidi"/>
          <w:b w:val="0"/>
          <w:bCs w:val="0"/>
          <w:sz w:val="22"/>
          <w:szCs w:val="22"/>
          <w:lang w:eastAsia="ja-JP"/>
        </w:rPr>
      </w:pPr>
      <w:r w:rsidRPr="00DB6694">
        <w:rPr>
          <w:rFonts w:asciiTheme="minorHAnsi" w:hAnsiTheme="minorHAnsi"/>
          <w:b w:val="0"/>
          <w:bCs w:val="0"/>
        </w:rPr>
        <w:fldChar w:fldCharType="begin"/>
      </w:r>
      <w:r w:rsidR="005F5D94" w:rsidRPr="00DB6694">
        <w:rPr>
          <w:rFonts w:asciiTheme="minorHAnsi" w:hAnsiTheme="minorHAnsi"/>
          <w:b w:val="0"/>
          <w:bCs w:val="0"/>
        </w:rPr>
        <w:instrText xml:space="preserve"> TOC \o "1-6" \h \z </w:instrText>
      </w:r>
      <w:r w:rsidRPr="00DB6694">
        <w:rPr>
          <w:rFonts w:asciiTheme="minorHAnsi" w:hAnsiTheme="minorHAnsi"/>
          <w:b w:val="0"/>
          <w:bCs w:val="0"/>
        </w:rPr>
        <w:fldChar w:fldCharType="separate"/>
      </w:r>
      <w:hyperlink w:anchor="_Toc2505284" w:history="1">
        <w:r w:rsidR="00922A31" w:rsidRPr="0001671F">
          <w:rPr>
            <w:rStyle w:val="Hyperlink"/>
          </w:rPr>
          <w:t>1. Introduction</w:t>
        </w:r>
        <w:r w:rsidR="00922A31">
          <w:rPr>
            <w:webHidden/>
          </w:rPr>
          <w:tab/>
        </w:r>
        <w:r w:rsidR="00922A31">
          <w:rPr>
            <w:webHidden/>
          </w:rPr>
          <w:fldChar w:fldCharType="begin"/>
        </w:r>
        <w:r w:rsidR="00922A31">
          <w:rPr>
            <w:webHidden/>
          </w:rPr>
          <w:instrText xml:space="preserve"> PAGEREF _Toc2505284 \h </w:instrText>
        </w:r>
        <w:r w:rsidR="00922A31">
          <w:rPr>
            <w:webHidden/>
          </w:rPr>
        </w:r>
        <w:r w:rsidR="00922A31">
          <w:rPr>
            <w:webHidden/>
          </w:rPr>
          <w:fldChar w:fldCharType="separate"/>
        </w:r>
        <w:r w:rsidR="00922A31">
          <w:rPr>
            <w:webHidden/>
          </w:rPr>
          <w:t>6</w:t>
        </w:r>
        <w:r w:rsidR="00922A31">
          <w:rPr>
            <w:webHidden/>
          </w:rPr>
          <w:fldChar w:fldCharType="end"/>
        </w:r>
      </w:hyperlink>
    </w:p>
    <w:p w14:paraId="4E8331AB" w14:textId="779581F6" w:rsidR="00922A31" w:rsidRDefault="00922A31">
      <w:pPr>
        <w:pStyle w:val="TOC2"/>
        <w:rPr>
          <w:rFonts w:asciiTheme="minorHAnsi" w:eastAsiaTheme="minorEastAsia" w:hAnsiTheme="minorHAnsi" w:cstheme="minorBidi"/>
          <w:b w:val="0"/>
          <w:bCs w:val="0"/>
          <w:sz w:val="22"/>
          <w:szCs w:val="22"/>
          <w:lang w:eastAsia="ja-JP"/>
        </w:rPr>
      </w:pPr>
      <w:hyperlink w:anchor="_Toc2505285" w:history="1">
        <w:r w:rsidRPr="0001671F">
          <w:rPr>
            <w:rStyle w:val="Hyperlink"/>
          </w:rPr>
          <w:t>1.1. Deep scattering layers</w:t>
        </w:r>
        <w:r>
          <w:rPr>
            <w:webHidden/>
          </w:rPr>
          <w:tab/>
        </w:r>
        <w:r>
          <w:rPr>
            <w:webHidden/>
          </w:rPr>
          <w:fldChar w:fldCharType="begin"/>
        </w:r>
        <w:r>
          <w:rPr>
            <w:webHidden/>
          </w:rPr>
          <w:instrText xml:space="preserve"> PAGEREF _Toc2505285 \h </w:instrText>
        </w:r>
        <w:r>
          <w:rPr>
            <w:webHidden/>
          </w:rPr>
        </w:r>
        <w:r>
          <w:rPr>
            <w:webHidden/>
          </w:rPr>
          <w:fldChar w:fldCharType="separate"/>
        </w:r>
        <w:r>
          <w:rPr>
            <w:webHidden/>
          </w:rPr>
          <w:t>6</w:t>
        </w:r>
        <w:r>
          <w:rPr>
            <w:webHidden/>
          </w:rPr>
          <w:fldChar w:fldCharType="end"/>
        </w:r>
      </w:hyperlink>
    </w:p>
    <w:p w14:paraId="1A154B3C" w14:textId="66F8A2B1" w:rsidR="00922A31" w:rsidRDefault="00922A31">
      <w:pPr>
        <w:pStyle w:val="TOC2"/>
        <w:rPr>
          <w:rFonts w:asciiTheme="minorHAnsi" w:eastAsiaTheme="minorEastAsia" w:hAnsiTheme="minorHAnsi" w:cstheme="minorBidi"/>
          <w:b w:val="0"/>
          <w:bCs w:val="0"/>
          <w:sz w:val="22"/>
          <w:szCs w:val="22"/>
          <w:lang w:eastAsia="ja-JP"/>
        </w:rPr>
      </w:pPr>
      <w:hyperlink w:anchor="_Toc2505286" w:history="1">
        <w:r w:rsidRPr="0001671F">
          <w:rPr>
            <w:rStyle w:val="Hyperlink"/>
          </w:rPr>
          <w:t>1.2. Partitioning the ocean</w:t>
        </w:r>
        <w:r>
          <w:rPr>
            <w:webHidden/>
          </w:rPr>
          <w:tab/>
        </w:r>
        <w:r>
          <w:rPr>
            <w:webHidden/>
          </w:rPr>
          <w:fldChar w:fldCharType="begin"/>
        </w:r>
        <w:r>
          <w:rPr>
            <w:webHidden/>
          </w:rPr>
          <w:instrText xml:space="preserve"> PAGEREF _Toc2505286 \h </w:instrText>
        </w:r>
        <w:r>
          <w:rPr>
            <w:webHidden/>
          </w:rPr>
        </w:r>
        <w:r>
          <w:rPr>
            <w:webHidden/>
          </w:rPr>
          <w:fldChar w:fldCharType="separate"/>
        </w:r>
        <w:r>
          <w:rPr>
            <w:webHidden/>
          </w:rPr>
          <w:t>7</w:t>
        </w:r>
        <w:r>
          <w:rPr>
            <w:webHidden/>
          </w:rPr>
          <w:fldChar w:fldCharType="end"/>
        </w:r>
      </w:hyperlink>
    </w:p>
    <w:p w14:paraId="3DF3F5AB" w14:textId="3E283BFE" w:rsidR="00922A31" w:rsidRDefault="00922A31">
      <w:pPr>
        <w:pStyle w:val="TOC2"/>
        <w:rPr>
          <w:rFonts w:asciiTheme="minorHAnsi" w:eastAsiaTheme="minorEastAsia" w:hAnsiTheme="minorHAnsi" w:cstheme="minorBidi"/>
          <w:b w:val="0"/>
          <w:bCs w:val="0"/>
          <w:sz w:val="22"/>
          <w:szCs w:val="22"/>
          <w:lang w:eastAsia="ja-JP"/>
        </w:rPr>
      </w:pPr>
      <w:hyperlink w:anchor="_Toc2505287" w:history="1">
        <w:r w:rsidRPr="0001671F">
          <w:rPr>
            <w:rStyle w:val="Hyperlink"/>
          </w:rPr>
          <w:t>1.3. This report</w:t>
        </w:r>
        <w:r>
          <w:rPr>
            <w:webHidden/>
          </w:rPr>
          <w:tab/>
        </w:r>
        <w:r>
          <w:rPr>
            <w:webHidden/>
          </w:rPr>
          <w:fldChar w:fldCharType="begin"/>
        </w:r>
        <w:r>
          <w:rPr>
            <w:webHidden/>
          </w:rPr>
          <w:instrText xml:space="preserve"> PAGEREF _Toc2505287 \h </w:instrText>
        </w:r>
        <w:r>
          <w:rPr>
            <w:webHidden/>
          </w:rPr>
        </w:r>
        <w:r>
          <w:rPr>
            <w:webHidden/>
          </w:rPr>
          <w:fldChar w:fldCharType="separate"/>
        </w:r>
        <w:r>
          <w:rPr>
            <w:webHidden/>
          </w:rPr>
          <w:t>7</w:t>
        </w:r>
        <w:r>
          <w:rPr>
            <w:webHidden/>
          </w:rPr>
          <w:fldChar w:fldCharType="end"/>
        </w:r>
      </w:hyperlink>
    </w:p>
    <w:p w14:paraId="532475CA" w14:textId="025DEC9E" w:rsidR="00922A31" w:rsidRDefault="00922A31">
      <w:pPr>
        <w:pStyle w:val="TOC1"/>
        <w:rPr>
          <w:rFonts w:asciiTheme="minorHAnsi" w:eastAsiaTheme="minorEastAsia" w:hAnsiTheme="minorHAnsi" w:cstheme="minorBidi"/>
          <w:b w:val="0"/>
          <w:bCs w:val="0"/>
          <w:sz w:val="22"/>
          <w:szCs w:val="22"/>
          <w:lang w:eastAsia="ja-JP"/>
        </w:rPr>
      </w:pPr>
      <w:hyperlink w:anchor="_Toc2505288" w:history="1">
        <w:r w:rsidRPr="0001671F">
          <w:rPr>
            <w:rStyle w:val="Hyperlink"/>
          </w:rPr>
          <w:t>2. Mesopelagic biogeography of the Southern Ocean</w:t>
        </w:r>
        <w:r>
          <w:rPr>
            <w:webHidden/>
          </w:rPr>
          <w:tab/>
        </w:r>
        <w:r>
          <w:rPr>
            <w:webHidden/>
          </w:rPr>
          <w:fldChar w:fldCharType="begin"/>
        </w:r>
        <w:r>
          <w:rPr>
            <w:webHidden/>
          </w:rPr>
          <w:instrText xml:space="preserve"> PAGEREF _Toc2505288 \h </w:instrText>
        </w:r>
        <w:r>
          <w:rPr>
            <w:webHidden/>
          </w:rPr>
        </w:r>
        <w:r>
          <w:rPr>
            <w:webHidden/>
          </w:rPr>
          <w:fldChar w:fldCharType="separate"/>
        </w:r>
        <w:r>
          <w:rPr>
            <w:webHidden/>
          </w:rPr>
          <w:t>8</w:t>
        </w:r>
        <w:r>
          <w:rPr>
            <w:webHidden/>
          </w:rPr>
          <w:fldChar w:fldCharType="end"/>
        </w:r>
      </w:hyperlink>
    </w:p>
    <w:p w14:paraId="38C7A9F7" w14:textId="4E04732B" w:rsidR="00922A31" w:rsidRDefault="00922A31">
      <w:pPr>
        <w:pStyle w:val="TOC2"/>
        <w:rPr>
          <w:rFonts w:asciiTheme="minorHAnsi" w:eastAsiaTheme="minorEastAsia" w:hAnsiTheme="minorHAnsi" w:cstheme="minorBidi"/>
          <w:b w:val="0"/>
          <w:bCs w:val="0"/>
          <w:sz w:val="22"/>
          <w:szCs w:val="22"/>
          <w:lang w:eastAsia="ja-JP"/>
        </w:rPr>
      </w:pPr>
      <w:hyperlink w:anchor="_Toc2505289" w:history="1">
        <w:r w:rsidRPr="0001671F">
          <w:rPr>
            <w:rStyle w:val="Hyperlink"/>
          </w:rPr>
          <w:t>2.1. Biogeography</w:t>
        </w:r>
        <w:r>
          <w:rPr>
            <w:webHidden/>
          </w:rPr>
          <w:tab/>
        </w:r>
        <w:r>
          <w:rPr>
            <w:webHidden/>
          </w:rPr>
          <w:fldChar w:fldCharType="begin"/>
        </w:r>
        <w:r>
          <w:rPr>
            <w:webHidden/>
          </w:rPr>
          <w:instrText xml:space="preserve"> PAGEREF _Toc2505289 \h </w:instrText>
        </w:r>
        <w:r>
          <w:rPr>
            <w:webHidden/>
          </w:rPr>
        </w:r>
        <w:r>
          <w:rPr>
            <w:webHidden/>
          </w:rPr>
          <w:fldChar w:fldCharType="separate"/>
        </w:r>
        <w:r>
          <w:rPr>
            <w:webHidden/>
          </w:rPr>
          <w:t>8</w:t>
        </w:r>
        <w:r>
          <w:rPr>
            <w:webHidden/>
          </w:rPr>
          <w:fldChar w:fldCharType="end"/>
        </w:r>
      </w:hyperlink>
    </w:p>
    <w:p w14:paraId="5ED02B91" w14:textId="41D39F46" w:rsidR="00922A31" w:rsidRDefault="00922A31">
      <w:pPr>
        <w:pStyle w:val="TOC2"/>
        <w:rPr>
          <w:rFonts w:asciiTheme="minorHAnsi" w:eastAsiaTheme="minorEastAsia" w:hAnsiTheme="minorHAnsi" w:cstheme="minorBidi"/>
          <w:b w:val="0"/>
          <w:bCs w:val="0"/>
          <w:sz w:val="22"/>
          <w:szCs w:val="22"/>
          <w:lang w:eastAsia="ja-JP"/>
        </w:rPr>
      </w:pPr>
      <w:hyperlink w:anchor="_Toc2505290" w:history="1">
        <w:r w:rsidRPr="0001671F">
          <w:rPr>
            <w:rStyle w:val="Hyperlink"/>
          </w:rPr>
          <w:t>2.2. Southern Ocean mesopelagic environment</w:t>
        </w:r>
        <w:r>
          <w:rPr>
            <w:webHidden/>
          </w:rPr>
          <w:tab/>
        </w:r>
        <w:r>
          <w:rPr>
            <w:webHidden/>
          </w:rPr>
          <w:fldChar w:fldCharType="begin"/>
        </w:r>
        <w:r>
          <w:rPr>
            <w:webHidden/>
          </w:rPr>
          <w:instrText xml:space="preserve"> PAGEREF _Toc2505290 \h </w:instrText>
        </w:r>
        <w:r>
          <w:rPr>
            <w:webHidden/>
          </w:rPr>
        </w:r>
        <w:r>
          <w:rPr>
            <w:webHidden/>
          </w:rPr>
          <w:fldChar w:fldCharType="separate"/>
        </w:r>
        <w:r>
          <w:rPr>
            <w:webHidden/>
          </w:rPr>
          <w:t>9</w:t>
        </w:r>
        <w:r>
          <w:rPr>
            <w:webHidden/>
          </w:rPr>
          <w:fldChar w:fldCharType="end"/>
        </w:r>
      </w:hyperlink>
    </w:p>
    <w:p w14:paraId="73243469" w14:textId="1B489875" w:rsidR="00922A31" w:rsidRDefault="00922A31">
      <w:pPr>
        <w:pStyle w:val="TOC3"/>
        <w:rPr>
          <w:rFonts w:asciiTheme="minorHAnsi" w:eastAsiaTheme="minorEastAsia" w:hAnsiTheme="minorHAnsi" w:cstheme="minorBidi"/>
          <w:b w:val="0"/>
          <w:bCs w:val="0"/>
          <w:color w:val="auto"/>
          <w:sz w:val="22"/>
          <w:szCs w:val="22"/>
          <w:lang w:eastAsia="ja-JP"/>
        </w:rPr>
      </w:pPr>
      <w:hyperlink w:anchor="_Toc2505291" w:history="1">
        <w:r w:rsidRPr="0001671F">
          <w:rPr>
            <w:rStyle w:val="Hyperlink"/>
          </w:rPr>
          <w:t>2.2.1. Temperature at the DSL depth (T</w:t>
        </w:r>
        <w:r w:rsidRPr="0001671F">
          <w:rPr>
            <w:rStyle w:val="Hyperlink"/>
            <w:vertAlign w:val="subscript"/>
          </w:rPr>
          <w:t>PDSL</w:t>
        </w:r>
        <w:r w:rsidRPr="0001671F">
          <w:rPr>
            <w:rStyle w:val="Hyperlink"/>
          </w:rPr>
          <w:t>)</w:t>
        </w:r>
        <w:r>
          <w:rPr>
            <w:webHidden/>
          </w:rPr>
          <w:tab/>
        </w:r>
        <w:r>
          <w:rPr>
            <w:webHidden/>
          </w:rPr>
          <w:fldChar w:fldCharType="begin"/>
        </w:r>
        <w:r>
          <w:rPr>
            <w:webHidden/>
          </w:rPr>
          <w:instrText xml:space="preserve"> PAGEREF _Toc2505291 \h </w:instrText>
        </w:r>
        <w:r>
          <w:rPr>
            <w:webHidden/>
          </w:rPr>
        </w:r>
        <w:r>
          <w:rPr>
            <w:webHidden/>
          </w:rPr>
          <w:fldChar w:fldCharType="separate"/>
        </w:r>
        <w:r>
          <w:rPr>
            <w:webHidden/>
          </w:rPr>
          <w:t>10</w:t>
        </w:r>
        <w:r>
          <w:rPr>
            <w:webHidden/>
          </w:rPr>
          <w:fldChar w:fldCharType="end"/>
        </w:r>
      </w:hyperlink>
    </w:p>
    <w:p w14:paraId="4EFB9F13" w14:textId="096FEB2B" w:rsidR="00922A31" w:rsidRDefault="00922A31">
      <w:pPr>
        <w:pStyle w:val="TOC3"/>
        <w:rPr>
          <w:rFonts w:asciiTheme="minorHAnsi" w:eastAsiaTheme="minorEastAsia" w:hAnsiTheme="minorHAnsi" w:cstheme="minorBidi"/>
          <w:b w:val="0"/>
          <w:bCs w:val="0"/>
          <w:color w:val="auto"/>
          <w:sz w:val="22"/>
          <w:szCs w:val="22"/>
          <w:lang w:eastAsia="ja-JP"/>
        </w:rPr>
      </w:pPr>
      <w:hyperlink w:anchor="_Toc2505292" w:history="1">
        <w:r w:rsidRPr="0001671F">
          <w:rPr>
            <w:rStyle w:val="Hyperlink"/>
          </w:rPr>
          <w:t>2.2.2. Primary production at the surface</w:t>
        </w:r>
        <w:r>
          <w:rPr>
            <w:webHidden/>
          </w:rPr>
          <w:tab/>
        </w:r>
        <w:r>
          <w:rPr>
            <w:webHidden/>
          </w:rPr>
          <w:fldChar w:fldCharType="begin"/>
        </w:r>
        <w:r>
          <w:rPr>
            <w:webHidden/>
          </w:rPr>
          <w:instrText xml:space="preserve"> PAGEREF _Toc2505292 \h </w:instrText>
        </w:r>
        <w:r>
          <w:rPr>
            <w:webHidden/>
          </w:rPr>
        </w:r>
        <w:r>
          <w:rPr>
            <w:webHidden/>
          </w:rPr>
          <w:fldChar w:fldCharType="separate"/>
        </w:r>
        <w:r>
          <w:rPr>
            <w:webHidden/>
          </w:rPr>
          <w:t>11</w:t>
        </w:r>
        <w:r>
          <w:rPr>
            <w:webHidden/>
          </w:rPr>
          <w:fldChar w:fldCharType="end"/>
        </w:r>
      </w:hyperlink>
    </w:p>
    <w:p w14:paraId="26126A5B" w14:textId="2AA80E77" w:rsidR="00922A31" w:rsidRDefault="00922A31">
      <w:pPr>
        <w:pStyle w:val="TOC2"/>
        <w:rPr>
          <w:rFonts w:asciiTheme="minorHAnsi" w:eastAsiaTheme="minorEastAsia" w:hAnsiTheme="minorHAnsi" w:cstheme="minorBidi"/>
          <w:b w:val="0"/>
          <w:bCs w:val="0"/>
          <w:sz w:val="22"/>
          <w:szCs w:val="22"/>
          <w:lang w:eastAsia="ja-JP"/>
        </w:rPr>
      </w:pPr>
      <w:hyperlink w:anchor="_Toc2505293" w:history="1">
        <w:r w:rsidRPr="0001671F">
          <w:rPr>
            <w:rStyle w:val="Hyperlink"/>
          </w:rPr>
          <w:t>2.3. Southern Ocean extent</w:t>
        </w:r>
        <w:r>
          <w:rPr>
            <w:webHidden/>
          </w:rPr>
          <w:tab/>
        </w:r>
        <w:r>
          <w:rPr>
            <w:webHidden/>
          </w:rPr>
          <w:fldChar w:fldCharType="begin"/>
        </w:r>
        <w:r>
          <w:rPr>
            <w:webHidden/>
          </w:rPr>
          <w:instrText xml:space="preserve"> PAGEREF _Toc2505293 \h </w:instrText>
        </w:r>
        <w:r>
          <w:rPr>
            <w:webHidden/>
          </w:rPr>
        </w:r>
        <w:r>
          <w:rPr>
            <w:webHidden/>
          </w:rPr>
          <w:fldChar w:fldCharType="separate"/>
        </w:r>
        <w:r>
          <w:rPr>
            <w:webHidden/>
          </w:rPr>
          <w:t>11</w:t>
        </w:r>
        <w:r>
          <w:rPr>
            <w:webHidden/>
          </w:rPr>
          <w:fldChar w:fldCharType="end"/>
        </w:r>
      </w:hyperlink>
    </w:p>
    <w:p w14:paraId="2B86DF5B" w14:textId="5382C129" w:rsidR="00922A31" w:rsidRDefault="00922A31">
      <w:pPr>
        <w:pStyle w:val="TOC1"/>
        <w:rPr>
          <w:rFonts w:asciiTheme="minorHAnsi" w:eastAsiaTheme="minorEastAsia" w:hAnsiTheme="minorHAnsi" w:cstheme="minorBidi"/>
          <w:b w:val="0"/>
          <w:bCs w:val="0"/>
          <w:sz w:val="22"/>
          <w:szCs w:val="22"/>
          <w:lang w:eastAsia="ja-JP"/>
        </w:rPr>
      </w:pPr>
      <w:hyperlink w:anchor="_Toc2505294" w:history="1">
        <w:r w:rsidRPr="0001671F">
          <w:rPr>
            <w:rStyle w:val="Hyperlink"/>
          </w:rPr>
          <w:t>3. Modelisation of mesopelagic fish habitats</w:t>
        </w:r>
        <w:r>
          <w:rPr>
            <w:webHidden/>
          </w:rPr>
          <w:tab/>
        </w:r>
        <w:r>
          <w:rPr>
            <w:webHidden/>
          </w:rPr>
          <w:fldChar w:fldCharType="begin"/>
        </w:r>
        <w:r>
          <w:rPr>
            <w:webHidden/>
          </w:rPr>
          <w:instrText xml:space="preserve"> PAGEREF _Toc2505294 \h </w:instrText>
        </w:r>
        <w:r>
          <w:rPr>
            <w:webHidden/>
          </w:rPr>
        </w:r>
        <w:r>
          <w:rPr>
            <w:webHidden/>
          </w:rPr>
          <w:fldChar w:fldCharType="separate"/>
        </w:r>
        <w:r>
          <w:rPr>
            <w:webHidden/>
          </w:rPr>
          <w:t>12</w:t>
        </w:r>
        <w:r>
          <w:rPr>
            <w:webHidden/>
          </w:rPr>
          <w:fldChar w:fldCharType="end"/>
        </w:r>
      </w:hyperlink>
    </w:p>
    <w:p w14:paraId="703365AC" w14:textId="5FA401B0" w:rsidR="00922A31" w:rsidRDefault="00922A31">
      <w:pPr>
        <w:pStyle w:val="TOC2"/>
        <w:rPr>
          <w:rFonts w:asciiTheme="minorHAnsi" w:eastAsiaTheme="minorEastAsia" w:hAnsiTheme="minorHAnsi" w:cstheme="minorBidi"/>
          <w:b w:val="0"/>
          <w:bCs w:val="0"/>
          <w:sz w:val="22"/>
          <w:szCs w:val="22"/>
          <w:lang w:eastAsia="ja-JP"/>
        </w:rPr>
      </w:pPr>
      <w:hyperlink w:anchor="_Toc2505295" w:history="1">
        <w:r w:rsidRPr="0001671F">
          <w:rPr>
            <w:rStyle w:val="Hyperlink"/>
          </w:rPr>
          <w:t>3.1. Mesopelagic fish classes and habitats</w:t>
        </w:r>
        <w:r>
          <w:rPr>
            <w:webHidden/>
          </w:rPr>
          <w:tab/>
        </w:r>
        <w:r>
          <w:rPr>
            <w:webHidden/>
          </w:rPr>
          <w:fldChar w:fldCharType="begin"/>
        </w:r>
        <w:r>
          <w:rPr>
            <w:webHidden/>
          </w:rPr>
          <w:instrText xml:space="preserve"> PAGEREF _Toc2505295 \h </w:instrText>
        </w:r>
        <w:r>
          <w:rPr>
            <w:webHidden/>
          </w:rPr>
        </w:r>
        <w:r>
          <w:rPr>
            <w:webHidden/>
          </w:rPr>
          <w:fldChar w:fldCharType="separate"/>
        </w:r>
        <w:r>
          <w:rPr>
            <w:webHidden/>
          </w:rPr>
          <w:t>13</w:t>
        </w:r>
        <w:r>
          <w:rPr>
            <w:webHidden/>
          </w:rPr>
          <w:fldChar w:fldCharType="end"/>
        </w:r>
      </w:hyperlink>
    </w:p>
    <w:p w14:paraId="7ED0597D" w14:textId="2D6F8C5B" w:rsidR="00922A31" w:rsidRDefault="00922A31">
      <w:pPr>
        <w:pStyle w:val="TOC2"/>
        <w:rPr>
          <w:rFonts w:asciiTheme="minorHAnsi" w:eastAsiaTheme="minorEastAsia" w:hAnsiTheme="minorHAnsi" w:cstheme="minorBidi"/>
          <w:b w:val="0"/>
          <w:bCs w:val="0"/>
          <w:sz w:val="22"/>
          <w:szCs w:val="22"/>
          <w:lang w:eastAsia="ja-JP"/>
        </w:rPr>
      </w:pPr>
      <w:hyperlink w:anchor="_Toc2505296" w:history="1">
        <w:r w:rsidRPr="0001671F">
          <w:rPr>
            <w:rStyle w:val="Hyperlink"/>
          </w:rPr>
          <w:t>3.2. Model selection</w:t>
        </w:r>
        <w:r>
          <w:rPr>
            <w:webHidden/>
          </w:rPr>
          <w:tab/>
        </w:r>
        <w:r>
          <w:rPr>
            <w:webHidden/>
          </w:rPr>
          <w:fldChar w:fldCharType="begin"/>
        </w:r>
        <w:r>
          <w:rPr>
            <w:webHidden/>
          </w:rPr>
          <w:instrText xml:space="preserve"> PAGEREF _Toc2505296 \h </w:instrText>
        </w:r>
        <w:r>
          <w:rPr>
            <w:webHidden/>
          </w:rPr>
        </w:r>
        <w:r>
          <w:rPr>
            <w:webHidden/>
          </w:rPr>
          <w:fldChar w:fldCharType="separate"/>
        </w:r>
        <w:r>
          <w:rPr>
            <w:webHidden/>
          </w:rPr>
          <w:t>13</w:t>
        </w:r>
        <w:r>
          <w:rPr>
            <w:webHidden/>
          </w:rPr>
          <w:fldChar w:fldCharType="end"/>
        </w:r>
      </w:hyperlink>
    </w:p>
    <w:p w14:paraId="1A0600BB" w14:textId="5E1E8CB4" w:rsidR="00922A31" w:rsidRDefault="00922A31">
      <w:pPr>
        <w:pStyle w:val="TOC3"/>
        <w:rPr>
          <w:rFonts w:asciiTheme="minorHAnsi" w:eastAsiaTheme="minorEastAsia" w:hAnsiTheme="minorHAnsi" w:cstheme="minorBidi"/>
          <w:b w:val="0"/>
          <w:bCs w:val="0"/>
          <w:color w:val="auto"/>
          <w:sz w:val="22"/>
          <w:szCs w:val="22"/>
          <w:lang w:eastAsia="ja-JP"/>
        </w:rPr>
      </w:pPr>
      <w:hyperlink w:anchor="_Toc2505297" w:history="1">
        <w:r w:rsidRPr="0001671F">
          <w:rPr>
            <w:rStyle w:val="Hyperlink"/>
          </w:rPr>
          <w:t>3.2.1. Large-scale partitioning</w:t>
        </w:r>
        <w:r>
          <w:rPr>
            <w:webHidden/>
          </w:rPr>
          <w:tab/>
        </w:r>
        <w:r>
          <w:rPr>
            <w:webHidden/>
          </w:rPr>
          <w:fldChar w:fldCharType="begin"/>
        </w:r>
        <w:r>
          <w:rPr>
            <w:webHidden/>
          </w:rPr>
          <w:instrText xml:space="preserve"> PAGEREF _Toc2505297 \h </w:instrText>
        </w:r>
        <w:r>
          <w:rPr>
            <w:webHidden/>
          </w:rPr>
        </w:r>
        <w:r>
          <w:rPr>
            <w:webHidden/>
          </w:rPr>
          <w:fldChar w:fldCharType="separate"/>
        </w:r>
        <w:r>
          <w:rPr>
            <w:webHidden/>
          </w:rPr>
          <w:t>14</w:t>
        </w:r>
        <w:r>
          <w:rPr>
            <w:webHidden/>
          </w:rPr>
          <w:fldChar w:fldCharType="end"/>
        </w:r>
      </w:hyperlink>
    </w:p>
    <w:p w14:paraId="7356C432" w14:textId="5A387993" w:rsidR="00922A31" w:rsidRDefault="00922A31">
      <w:pPr>
        <w:pStyle w:val="TOC3"/>
        <w:rPr>
          <w:rFonts w:asciiTheme="minorHAnsi" w:eastAsiaTheme="minorEastAsia" w:hAnsiTheme="minorHAnsi" w:cstheme="minorBidi"/>
          <w:b w:val="0"/>
          <w:bCs w:val="0"/>
          <w:color w:val="auto"/>
          <w:sz w:val="22"/>
          <w:szCs w:val="22"/>
          <w:lang w:eastAsia="ja-JP"/>
        </w:rPr>
      </w:pPr>
      <w:hyperlink w:anchor="_Toc2505298" w:history="1">
        <w:r w:rsidRPr="0001671F">
          <w:rPr>
            <w:rStyle w:val="Hyperlink"/>
          </w:rPr>
          <w:t>3.2.2. Small-scale partitioning</w:t>
        </w:r>
        <w:r>
          <w:rPr>
            <w:webHidden/>
          </w:rPr>
          <w:tab/>
        </w:r>
        <w:r>
          <w:rPr>
            <w:webHidden/>
          </w:rPr>
          <w:fldChar w:fldCharType="begin"/>
        </w:r>
        <w:r>
          <w:rPr>
            <w:webHidden/>
          </w:rPr>
          <w:instrText xml:space="preserve"> PAGEREF _Toc2505298 \h </w:instrText>
        </w:r>
        <w:r>
          <w:rPr>
            <w:webHidden/>
          </w:rPr>
        </w:r>
        <w:r>
          <w:rPr>
            <w:webHidden/>
          </w:rPr>
          <w:fldChar w:fldCharType="separate"/>
        </w:r>
        <w:r>
          <w:rPr>
            <w:webHidden/>
          </w:rPr>
          <w:t>15</w:t>
        </w:r>
        <w:r>
          <w:rPr>
            <w:webHidden/>
          </w:rPr>
          <w:fldChar w:fldCharType="end"/>
        </w:r>
      </w:hyperlink>
    </w:p>
    <w:p w14:paraId="62B1B031" w14:textId="21169803" w:rsidR="00922A31" w:rsidRDefault="00922A31">
      <w:pPr>
        <w:pStyle w:val="TOC2"/>
        <w:rPr>
          <w:rFonts w:asciiTheme="minorHAnsi" w:eastAsiaTheme="minorEastAsia" w:hAnsiTheme="minorHAnsi" w:cstheme="minorBidi"/>
          <w:b w:val="0"/>
          <w:bCs w:val="0"/>
          <w:sz w:val="22"/>
          <w:szCs w:val="22"/>
          <w:lang w:eastAsia="ja-JP"/>
        </w:rPr>
      </w:pPr>
      <w:hyperlink w:anchor="_Toc2505299" w:history="1">
        <w:r w:rsidRPr="0001671F">
          <w:rPr>
            <w:rStyle w:val="Hyperlink"/>
          </w:rPr>
          <w:t>3.3. Consequences of Scaling</w:t>
        </w:r>
        <w:r>
          <w:rPr>
            <w:webHidden/>
          </w:rPr>
          <w:tab/>
        </w:r>
        <w:r>
          <w:rPr>
            <w:webHidden/>
          </w:rPr>
          <w:fldChar w:fldCharType="begin"/>
        </w:r>
        <w:r>
          <w:rPr>
            <w:webHidden/>
          </w:rPr>
          <w:instrText xml:space="preserve"> PAGEREF _Toc2505299 \h </w:instrText>
        </w:r>
        <w:r>
          <w:rPr>
            <w:webHidden/>
          </w:rPr>
        </w:r>
        <w:r>
          <w:rPr>
            <w:webHidden/>
          </w:rPr>
          <w:fldChar w:fldCharType="separate"/>
        </w:r>
        <w:r>
          <w:rPr>
            <w:webHidden/>
          </w:rPr>
          <w:t>16</w:t>
        </w:r>
        <w:r>
          <w:rPr>
            <w:webHidden/>
          </w:rPr>
          <w:fldChar w:fldCharType="end"/>
        </w:r>
      </w:hyperlink>
    </w:p>
    <w:p w14:paraId="55C135B8" w14:textId="0F626231" w:rsidR="00922A31" w:rsidRDefault="00922A31">
      <w:pPr>
        <w:pStyle w:val="TOC1"/>
        <w:rPr>
          <w:rFonts w:asciiTheme="minorHAnsi" w:eastAsiaTheme="minorEastAsia" w:hAnsiTheme="minorHAnsi" w:cstheme="minorBidi"/>
          <w:b w:val="0"/>
          <w:bCs w:val="0"/>
          <w:sz w:val="22"/>
          <w:szCs w:val="22"/>
          <w:lang w:eastAsia="ja-JP"/>
        </w:rPr>
      </w:pPr>
      <w:hyperlink w:anchor="_Toc2505300" w:history="1">
        <w:r w:rsidRPr="0001671F">
          <w:rPr>
            <w:rStyle w:val="Hyperlink"/>
          </w:rPr>
          <w:t>4. Discussion and Summary</w:t>
        </w:r>
        <w:r>
          <w:rPr>
            <w:webHidden/>
          </w:rPr>
          <w:tab/>
        </w:r>
        <w:r>
          <w:rPr>
            <w:webHidden/>
          </w:rPr>
          <w:fldChar w:fldCharType="begin"/>
        </w:r>
        <w:r>
          <w:rPr>
            <w:webHidden/>
          </w:rPr>
          <w:instrText xml:space="preserve"> PAGEREF _Toc2505300 \h </w:instrText>
        </w:r>
        <w:r>
          <w:rPr>
            <w:webHidden/>
          </w:rPr>
        </w:r>
        <w:r>
          <w:rPr>
            <w:webHidden/>
          </w:rPr>
          <w:fldChar w:fldCharType="separate"/>
        </w:r>
        <w:r>
          <w:rPr>
            <w:webHidden/>
          </w:rPr>
          <w:t>17</w:t>
        </w:r>
        <w:r>
          <w:rPr>
            <w:webHidden/>
          </w:rPr>
          <w:fldChar w:fldCharType="end"/>
        </w:r>
      </w:hyperlink>
    </w:p>
    <w:p w14:paraId="7036BF97" w14:textId="5CF03880" w:rsidR="00922A31" w:rsidRDefault="00922A31">
      <w:pPr>
        <w:pStyle w:val="TOC2"/>
        <w:rPr>
          <w:rFonts w:asciiTheme="minorHAnsi" w:eastAsiaTheme="minorEastAsia" w:hAnsiTheme="minorHAnsi" w:cstheme="minorBidi"/>
          <w:b w:val="0"/>
          <w:bCs w:val="0"/>
          <w:sz w:val="22"/>
          <w:szCs w:val="22"/>
          <w:lang w:eastAsia="ja-JP"/>
        </w:rPr>
      </w:pPr>
      <w:hyperlink w:anchor="_Toc2505301" w:history="1">
        <w:r w:rsidRPr="0001671F">
          <w:rPr>
            <w:rStyle w:val="Hyperlink"/>
          </w:rPr>
          <w:t>4.1. Model caveats</w:t>
        </w:r>
        <w:r>
          <w:rPr>
            <w:webHidden/>
          </w:rPr>
          <w:tab/>
        </w:r>
        <w:r>
          <w:rPr>
            <w:webHidden/>
          </w:rPr>
          <w:fldChar w:fldCharType="begin"/>
        </w:r>
        <w:r>
          <w:rPr>
            <w:webHidden/>
          </w:rPr>
          <w:instrText xml:space="preserve"> PAGEREF _Toc2505301 \h </w:instrText>
        </w:r>
        <w:r>
          <w:rPr>
            <w:webHidden/>
          </w:rPr>
        </w:r>
        <w:r>
          <w:rPr>
            <w:webHidden/>
          </w:rPr>
          <w:fldChar w:fldCharType="separate"/>
        </w:r>
        <w:r>
          <w:rPr>
            <w:webHidden/>
          </w:rPr>
          <w:t>17</w:t>
        </w:r>
        <w:r>
          <w:rPr>
            <w:webHidden/>
          </w:rPr>
          <w:fldChar w:fldCharType="end"/>
        </w:r>
      </w:hyperlink>
    </w:p>
    <w:p w14:paraId="7F60E555" w14:textId="67A9B2FC" w:rsidR="00922A31" w:rsidRDefault="00922A31">
      <w:pPr>
        <w:pStyle w:val="TOC2"/>
        <w:rPr>
          <w:rFonts w:asciiTheme="minorHAnsi" w:eastAsiaTheme="minorEastAsia" w:hAnsiTheme="minorHAnsi" w:cstheme="minorBidi"/>
          <w:b w:val="0"/>
          <w:bCs w:val="0"/>
          <w:sz w:val="22"/>
          <w:szCs w:val="22"/>
          <w:lang w:eastAsia="ja-JP"/>
        </w:rPr>
      </w:pPr>
      <w:hyperlink w:anchor="_Toc2505302" w:history="1">
        <w:r w:rsidRPr="0001671F">
          <w:rPr>
            <w:rStyle w:val="Hyperlink"/>
          </w:rPr>
          <w:t>4.2. Way forward</w:t>
        </w:r>
        <w:r>
          <w:rPr>
            <w:webHidden/>
          </w:rPr>
          <w:tab/>
        </w:r>
        <w:r>
          <w:rPr>
            <w:webHidden/>
          </w:rPr>
          <w:fldChar w:fldCharType="begin"/>
        </w:r>
        <w:r>
          <w:rPr>
            <w:webHidden/>
          </w:rPr>
          <w:instrText xml:space="preserve"> PAGEREF _Toc2505302 \h </w:instrText>
        </w:r>
        <w:r>
          <w:rPr>
            <w:webHidden/>
          </w:rPr>
        </w:r>
        <w:r>
          <w:rPr>
            <w:webHidden/>
          </w:rPr>
          <w:fldChar w:fldCharType="separate"/>
        </w:r>
        <w:r>
          <w:rPr>
            <w:webHidden/>
          </w:rPr>
          <w:t>18</w:t>
        </w:r>
        <w:r>
          <w:rPr>
            <w:webHidden/>
          </w:rPr>
          <w:fldChar w:fldCharType="end"/>
        </w:r>
      </w:hyperlink>
    </w:p>
    <w:p w14:paraId="434AFA38" w14:textId="46649162" w:rsidR="00922A31" w:rsidRDefault="00922A31">
      <w:pPr>
        <w:pStyle w:val="TOC1"/>
        <w:rPr>
          <w:rFonts w:asciiTheme="minorHAnsi" w:eastAsiaTheme="minorEastAsia" w:hAnsiTheme="minorHAnsi" w:cstheme="minorBidi"/>
          <w:b w:val="0"/>
          <w:bCs w:val="0"/>
          <w:sz w:val="22"/>
          <w:szCs w:val="22"/>
          <w:lang w:eastAsia="ja-JP"/>
        </w:rPr>
      </w:pPr>
      <w:hyperlink w:anchor="_Toc2505303" w:history="1">
        <w:r w:rsidRPr="0001671F">
          <w:rPr>
            <w:rStyle w:val="Hyperlink"/>
            <w:lang w:val="en-US"/>
          </w:rPr>
          <w:t>5. References</w:t>
        </w:r>
        <w:r>
          <w:rPr>
            <w:webHidden/>
          </w:rPr>
          <w:tab/>
        </w:r>
        <w:r>
          <w:rPr>
            <w:webHidden/>
          </w:rPr>
          <w:fldChar w:fldCharType="begin"/>
        </w:r>
        <w:r>
          <w:rPr>
            <w:webHidden/>
          </w:rPr>
          <w:instrText xml:space="preserve"> PAGEREF _Toc2505303 \h </w:instrText>
        </w:r>
        <w:r>
          <w:rPr>
            <w:webHidden/>
          </w:rPr>
        </w:r>
        <w:r>
          <w:rPr>
            <w:webHidden/>
          </w:rPr>
          <w:fldChar w:fldCharType="separate"/>
        </w:r>
        <w:r>
          <w:rPr>
            <w:webHidden/>
          </w:rPr>
          <w:t>19</w:t>
        </w:r>
        <w:r>
          <w:rPr>
            <w:webHidden/>
          </w:rPr>
          <w:fldChar w:fldCharType="end"/>
        </w:r>
      </w:hyperlink>
    </w:p>
    <w:p w14:paraId="2E6E186D" w14:textId="5E4EFA63" w:rsidR="00922A31" w:rsidRDefault="00922A31">
      <w:pPr>
        <w:pStyle w:val="TOC1"/>
        <w:rPr>
          <w:rFonts w:asciiTheme="minorHAnsi" w:eastAsiaTheme="minorEastAsia" w:hAnsiTheme="minorHAnsi" w:cstheme="minorBidi"/>
          <w:b w:val="0"/>
          <w:bCs w:val="0"/>
          <w:sz w:val="22"/>
          <w:szCs w:val="22"/>
          <w:lang w:eastAsia="ja-JP"/>
        </w:rPr>
      </w:pPr>
      <w:hyperlink w:anchor="_Toc2505304" w:history="1">
        <w:r w:rsidRPr="0001671F">
          <w:rPr>
            <w:rStyle w:val="Hyperlink"/>
          </w:rPr>
          <w:t>6. Appendix A</w:t>
        </w:r>
        <w:r>
          <w:rPr>
            <w:webHidden/>
          </w:rPr>
          <w:tab/>
        </w:r>
        <w:r>
          <w:rPr>
            <w:webHidden/>
          </w:rPr>
          <w:fldChar w:fldCharType="begin"/>
        </w:r>
        <w:r>
          <w:rPr>
            <w:webHidden/>
          </w:rPr>
          <w:instrText xml:space="preserve"> PAGEREF _Toc2505304 \h </w:instrText>
        </w:r>
        <w:r>
          <w:rPr>
            <w:webHidden/>
          </w:rPr>
        </w:r>
        <w:r>
          <w:rPr>
            <w:webHidden/>
          </w:rPr>
          <w:fldChar w:fldCharType="separate"/>
        </w:r>
        <w:r>
          <w:rPr>
            <w:webHidden/>
          </w:rPr>
          <w:t>22</w:t>
        </w:r>
        <w:r>
          <w:rPr>
            <w:webHidden/>
          </w:rPr>
          <w:fldChar w:fldCharType="end"/>
        </w:r>
      </w:hyperlink>
    </w:p>
    <w:p w14:paraId="50ABDE85" w14:textId="75573694" w:rsidR="00922A31" w:rsidRDefault="00922A31">
      <w:pPr>
        <w:pStyle w:val="TOC2"/>
        <w:rPr>
          <w:rFonts w:asciiTheme="minorHAnsi" w:eastAsiaTheme="minorEastAsia" w:hAnsiTheme="minorHAnsi" w:cstheme="minorBidi"/>
          <w:b w:val="0"/>
          <w:bCs w:val="0"/>
          <w:sz w:val="22"/>
          <w:szCs w:val="22"/>
          <w:lang w:eastAsia="ja-JP"/>
        </w:rPr>
      </w:pPr>
      <w:hyperlink w:anchor="_Toc2505305" w:history="1">
        <w:r w:rsidRPr="0001671F">
          <w:rPr>
            <w:rStyle w:val="Hyperlink"/>
          </w:rPr>
          <w:t>6.1. Southern Ocean mesopelagic fish habitat models</w:t>
        </w:r>
        <w:r>
          <w:rPr>
            <w:webHidden/>
          </w:rPr>
          <w:tab/>
        </w:r>
        <w:r>
          <w:rPr>
            <w:webHidden/>
          </w:rPr>
          <w:fldChar w:fldCharType="begin"/>
        </w:r>
        <w:r>
          <w:rPr>
            <w:webHidden/>
          </w:rPr>
          <w:instrText xml:space="preserve"> PAGEREF _Toc2505305 \h </w:instrText>
        </w:r>
        <w:r>
          <w:rPr>
            <w:webHidden/>
          </w:rPr>
        </w:r>
        <w:r>
          <w:rPr>
            <w:webHidden/>
          </w:rPr>
          <w:fldChar w:fldCharType="separate"/>
        </w:r>
        <w:r>
          <w:rPr>
            <w:webHidden/>
          </w:rPr>
          <w:t>22</w:t>
        </w:r>
        <w:r>
          <w:rPr>
            <w:webHidden/>
          </w:rPr>
          <w:fldChar w:fldCharType="end"/>
        </w:r>
      </w:hyperlink>
    </w:p>
    <w:p w14:paraId="6213A27C" w14:textId="46862DDD" w:rsidR="00DB6694" w:rsidRDefault="009317D6">
      <w:pPr>
        <w:rPr>
          <w:sz w:val="18"/>
        </w:rPr>
        <w:sectPr w:rsidR="00DB6694" w:rsidSect="00C708CF">
          <w:headerReference w:type="default" r:id="rId14"/>
          <w:footerReference w:type="default" r:id="rId15"/>
          <w:headerReference w:type="first" r:id="rId16"/>
          <w:footerReference w:type="first" r:id="rId17"/>
          <w:pgSz w:w="11900" w:h="16840"/>
          <w:pgMar w:top="1418" w:right="1552" w:bottom="567" w:left="1446" w:header="284" w:footer="556" w:gutter="0"/>
          <w:pgNumType w:start="0"/>
          <w:cols w:space="0"/>
          <w:titlePg/>
          <w:docGrid w:linePitch="272"/>
        </w:sectPr>
      </w:pPr>
      <w:r w:rsidRPr="00DB6694">
        <w:rPr>
          <w:noProof/>
        </w:rPr>
        <w:fldChar w:fldCharType="end"/>
      </w:r>
    </w:p>
    <w:p w14:paraId="264D6A75" w14:textId="77777777" w:rsidR="00EF4C2F" w:rsidRPr="00012ACB" w:rsidRDefault="00EF4C2F" w:rsidP="00012ACB">
      <w:pPr>
        <w:pStyle w:val="Sous-titrenonindex"/>
        <w:rPr>
          <w:b/>
          <w:lang w:eastAsia="en-US"/>
        </w:rPr>
      </w:pPr>
      <w:bookmarkStart w:id="4" w:name="_Toc456191845"/>
      <w:bookmarkStart w:id="5" w:name="_Toc441994169"/>
      <w:bookmarkStart w:id="6" w:name="_Toc449345293"/>
      <w:r w:rsidRPr="00012ACB">
        <w:rPr>
          <w:b/>
          <w:lang w:eastAsia="en-US"/>
        </w:rPr>
        <w:lastRenderedPageBreak/>
        <w:t>Overview</w:t>
      </w:r>
      <w:bookmarkEnd w:id="4"/>
      <w:r w:rsidR="00012ACB" w:rsidRPr="00012ACB">
        <w:rPr>
          <w:b/>
          <w:lang w:eastAsia="en-US"/>
        </w:rPr>
        <w:t xml:space="preserve"> of MESOPP project </w:t>
      </w:r>
    </w:p>
    <w:p w14:paraId="02F9C434" w14:textId="2942916F" w:rsidR="00EF4C2F" w:rsidRPr="00DB6694" w:rsidRDefault="00EF4C2F" w:rsidP="00DB6694">
      <w:pPr>
        <w:rPr>
          <w:lang w:val="en-US" w:eastAsia="en-US"/>
        </w:rPr>
      </w:pPr>
      <w:r w:rsidRPr="00DB6694">
        <w:rPr>
          <w:lang w:val="en-US" w:eastAsia="en-US"/>
        </w:rPr>
        <w:t xml:space="preserve">The underlying concept of MESOPP is the creation of a collaborative network and associated e-infrastructure (marine ecosystem information system) between European and Australian research teams/institutes sharing similar interests </w:t>
      </w:r>
      <w:proofErr w:type="gramStart"/>
      <w:r w:rsidRPr="00DB6694">
        <w:rPr>
          <w:lang w:val="en-US" w:eastAsia="en-US"/>
        </w:rPr>
        <w:t>in</w:t>
      </w:r>
      <w:r w:rsidR="000028B2">
        <w:rPr>
          <w:lang w:val="en-US" w:eastAsia="en-US"/>
        </w:rPr>
        <w:t>:</w:t>
      </w:r>
      <w:proofErr w:type="gramEnd"/>
      <w:r w:rsidRPr="00DB6694">
        <w:rPr>
          <w:lang w:val="en-US" w:eastAsia="en-US"/>
        </w:rPr>
        <w:t xml:space="preserve"> the Southern Ocean </w:t>
      </w:r>
      <w:r w:rsidR="003A32BD">
        <w:rPr>
          <w:lang w:val="en-US" w:eastAsia="en-US"/>
        </w:rPr>
        <w:t xml:space="preserve">(SO) </w:t>
      </w:r>
      <w:r w:rsidRPr="00DB6694">
        <w:rPr>
          <w:lang w:val="en-US" w:eastAsia="en-US"/>
        </w:rPr>
        <w:t xml:space="preserve">and Antarctica, its marine ecosystem functioning and the rapid changes occurring with the climate warming and the exploitation of marine resources. </w:t>
      </w:r>
    </w:p>
    <w:p w14:paraId="42E8AD1F" w14:textId="2DECEAD9" w:rsidR="00EF4C2F" w:rsidRPr="00177966" w:rsidRDefault="00EF4C2F" w:rsidP="00DB6694">
      <w:pPr>
        <w:rPr>
          <w:lang w:eastAsia="en-US"/>
        </w:rPr>
      </w:pPr>
      <w:r w:rsidRPr="00DB6694">
        <w:rPr>
          <w:lang w:eastAsia="en-US"/>
        </w:rPr>
        <w:t>In the past 30 years</w:t>
      </w:r>
      <w:r w:rsidR="000028B2">
        <w:rPr>
          <w:lang w:eastAsia="en-US"/>
        </w:rPr>
        <w:t xml:space="preserve"> –</w:t>
      </w:r>
      <w:r w:rsidR="000028B2" w:rsidRPr="00DB6694">
        <w:rPr>
          <w:lang w:eastAsia="en-US"/>
        </w:rPr>
        <w:t xml:space="preserve"> </w:t>
      </w:r>
      <w:r w:rsidRPr="00DB6694">
        <w:rPr>
          <w:lang w:eastAsia="en-US"/>
        </w:rPr>
        <w:t>facing global knowledge issues, lacking data</w:t>
      </w:r>
      <w:r w:rsidR="000028B2">
        <w:rPr>
          <w:lang w:eastAsia="en-US"/>
        </w:rPr>
        <w:t xml:space="preserve"> and</w:t>
      </w:r>
      <w:r w:rsidR="000028B2" w:rsidRPr="00DB6694">
        <w:rPr>
          <w:lang w:eastAsia="en-US"/>
        </w:rPr>
        <w:t xml:space="preserve"> </w:t>
      </w:r>
      <w:r w:rsidRPr="00DB6694">
        <w:rPr>
          <w:lang w:eastAsia="en-US"/>
        </w:rPr>
        <w:t>addressing huge modelling challenges</w:t>
      </w:r>
      <w:r w:rsidR="000028B2">
        <w:rPr>
          <w:lang w:eastAsia="en-US"/>
        </w:rPr>
        <w:t xml:space="preserve"> –</w:t>
      </w:r>
      <w:r w:rsidR="000028B2" w:rsidRPr="00DB6694">
        <w:rPr>
          <w:lang w:eastAsia="en-US"/>
        </w:rPr>
        <w:t xml:space="preserve"> </w:t>
      </w:r>
      <w:r w:rsidRPr="00DB6694">
        <w:rPr>
          <w:lang w:eastAsia="en-US"/>
        </w:rPr>
        <w:t xml:space="preserve">we observed the successful world organisation of meteorology. These past 15 years, Europe has kick started and </w:t>
      </w:r>
      <w:r w:rsidR="000028B2">
        <w:rPr>
          <w:lang w:eastAsia="en-US"/>
        </w:rPr>
        <w:t>achieved</w:t>
      </w:r>
      <w:r w:rsidRPr="00DB6694">
        <w:rPr>
          <w:lang w:eastAsia="en-US"/>
        </w:rPr>
        <w:t xml:space="preserve"> successful structuring of the operational oceanography fostered by the Copernicus initiative (</w:t>
      </w:r>
      <w:hyperlink r:id="rId18" w:history="1">
        <w:r w:rsidR="006214BC" w:rsidRPr="002A090C">
          <w:rPr>
            <w:rStyle w:val="Hyperlink"/>
            <w:lang w:eastAsia="en-US"/>
          </w:rPr>
          <w:t>http://marine.copernicus.eu/</w:t>
        </w:r>
      </w:hyperlink>
      <w:r w:rsidRPr="00DB6694">
        <w:rPr>
          <w:lang w:eastAsia="en-US"/>
        </w:rPr>
        <w:t>)</w:t>
      </w:r>
      <w:r w:rsidR="006214BC">
        <w:rPr>
          <w:lang w:eastAsia="en-US"/>
        </w:rPr>
        <w:t>. T</w:t>
      </w:r>
      <w:r w:rsidR="006214BC" w:rsidRPr="00DB6694">
        <w:rPr>
          <w:lang w:eastAsia="en-US"/>
        </w:rPr>
        <w:t>oday</w:t>
      </w:r>
      <w:r w:rsidR="006214BC">
        <w:rPr>
          <w:lang w:eastAsia="en-US"/>
        </w:rPr>
        <w:t xml:space="preserve">, </w:t>
      </w:r>
      <w:r w:rsidR="000028B2">
        <w:rPr>
          <w:lang w:eastAsia="en-US"/>
        </w:rPr>
        <w:t xml:space="preserve">this structure </w:t>
      </w:r>
      <w:r w:rsidR="006214BC">
        <w:rPr>
          <w:lang w:eastAsia="en-US"/>
        </w:rPr>
        <w:t xml:space="preserve">is </w:t>
      </w:r>
      <w:r w:rsidRPr="00DB6694">
        <w:rPr>
          <w:lang w:eastAsia="en-US"/>
        </w:rPr>
        <w:t>used and recognised</w:t>
      </w:r>
      <w:r w:rsidR="000028B2">
        <w:rPr>
          <w:lang w:eastAsia="en-US"/>
        </w:rPr>
        <w:t xml:space="preserve"> </w:t>
      </w:r>
      <w:r w:rsidR="000028B2" w:rsidRPr="00DB6694">
        <w:rPr>
          <w:lang w:eastAsia="en-US"/>
        </w:rPr>
        <w:t>worldwide</w:t>
      </w:r>
      <w:r w:rsidR="000028B2">
        <w:rPr>
          <w:lang w:eastAsia="en-US"/>
        </w:rPr>
        <w:t xml:space="preserve"> and is</w:t>
      </w:r>
      <w:r w:rsidR="000028B2" w:rsidRPr="00DB6694">
        <w:rPr>
          <w:lang w:eastAsia="en-US"/>
        </w:rPr>
        <w:t xml:space="preserve"> </w:t>
      </w:r>
      <w:r w:rsidRPr="00DB6694">
        <w:rPr>
          <w:lang w:eastAsia="en-US"/>
        </w:rPr>
        <w:t xml:space="preserve">integrated in GOOS (Global Ocean Observing System), </w:t>
      </w:r>
      <w:r w:rsidR="00F97B0E" w:rsidRPr="00DB6694">
        <w:rPr>
          <w:lang w:eastAsia="en-US"/>
        </w:rPr>
        <w:t>IO</w:t>
      </w:r>
      <w:r w:rsidR="00F97B0E">
        <w:rPr>
          <w:lang w:eastAsia="en-US"/>
        </w:rPr>
        <w:t>O</w:t>
      </w:r>
      <w:r w:rsidR="00F97B0E" w:rsidRPr="00DB6694">
        <w:rPr>
          <w:lang w:eastAsia="en-US"/>
        </w:rPr>
        <w:t xml:space="preserve">S </w:t>
      </w:r>
      <w:r w:rsidRPr="00DB6694">
        <w:rPr>
          <w:lang w:eastAsia="en-US"/>
        </w:rPr>
        <w:t>(</w:t>
      </w:r>
      <w:r w:rsidR="00F97B0E" w:rsidRPr="00DB6694">
        <w:rPr>
          <w:lang w:eastAsia="en-US"/>
        </w:rPr>
        <w:t>Integrat</w:t>
      </w:r>
      <w:r w:rsidR="00F97B0E">
        <w:rPr>
          <w:lang w:eastAsia="en-US"/>
        </w:rPr>
        <w:t>ed</w:t>
      </w:r>
      <w:r w:rsidR="00F97B0E" w:rsidRPr="00DB6694">
        <w:rPr>
          <w:lang w:eastAsia="en-US"/>
        </w:rPr>
        <w:t xml:space="preserve"> </w:t>
      </w:r>
      <w:r w:rsidRPr="00DB6694">
        <w:rPr>
          <w:lang w:eastAsia="en-US"/>
        </w:rPr>
        <w:t xml:space="preserve">ocean observation system), SOOS (Southern Ocean Observing System), GODAE (the </w:t>
      </w:r>
      <w:r w:rsidR="0087201F">
        <w:rPr>
          <w:lang w:eastAsia="en-US"/>
        </w:rPr>
        <w:t>I</w:t>
      </w:r>
      <w:r w:rsidRPr="00DB6694">
        <w:rPr>
          <w:lang w:eastAsia="en-US"/>
        </w:rPr>
        <w:t xml:space="preserve">nternational </w:t>
      </w:r>
      <w:r w:rsidR="0087201F">
        <w:rPr>
          <w:lang w:eastAsia="en-US"/>
        </w:rPr>
        <w:t>G</w:t>
      </w:r>
      <w:r w:rsidRPr="00DB6694">
        <w:rPr>
          <w:lang w:eastAsia="en-US"/>
        </w:rPr>
        <w:t xml:space="preserve">lobal </w:t>
      </w:r>
      <w:r w:rsidR="0087201F">
        <w:rPr>
          <w:lang w:eastAsia="en-US"/>
        </w:rPr>
        <w:t>O</w:t>
      </w:r>
      <w:r w:rsidRPr="00DB6694">
        <w:rPr>
          <w:lang w:eastAsia="en-US"/>
        </w:rPr>
        <w:t xml:space="preserve">cean </w:t>
      </w:r>
      <w:r w:rsidR="0087201F">
        <w:rPr>
          <w:lang w:eastAsia="en-US"/>
        </w:rPr>
        <w:t>D</w:t>
      </w:r>
      <w:r w:rsidRPr="00DB6694">
        <w:rPr>
          <w:lang w:eastAsia="en-US"/>
        </w:rPr>
        <w:t xml:space="preserve">ata </w:t>
      </w:r>
      <w:r w:rsidR="0087201F">
        <w:rPr>
          <w:lang w:eastAsia="en-US"/>
        </w:rPr>
        <w:t>A</w:t>
      </w:r>
      <w:r w:rsidRPr="00DB6694">
        <w:rPr>
          <w:lang w:eastAsia="en-US"/>
        </w:rPr>
        <w:t xml:space="preserve">ssimilation </w:t>
      </w:r>
      <w:r w:rsidR="0087201F">
        <w:rPr>
          <w:lang w:eastAsia="en-US"/>
        </w:rPr>
        <w:t>E</w:t>
      </w:r>
      <w:r w:rsidRPr="00DB6694">
        <w:rPr>
          <w:lang w:eastAsia="en-US"/>
        </w:rPr>
        <w:t>xperiment), and IMBER (</w:t>
      </w:r>
      <w:r w:rsidR="0087201F">
        <w:rPr>
          <w:lang w:eastAsia="en-US"/>
        </w:rPr>
        <w:t>I</w:t>
      </w:r>
      <w:r w:rsidRPr="00DB6694">
        <w:rPr>
          <w:lang w:eastAsia="en-US"/>
        </w:rPr>
        <w:t xml:space="preserve">ntegrated </w:t>
      </w:r>
      <w:r w:rsidR="0087201F">
        <w:rPr>
          <w:lang w:eastAsia="en-US"/>
        </w:rPr>
        <w:t>M</w:t>
      </w:r>
      <w:r w:rsidRPr="00DB6694">
        <w:rPr>
          <w:lang w:eastAsia="en-US"/>
        </w:rPr>
        <w:t xml:space="preserve">arine </w:t>
      </w:r>
      <w:r w:rsidR="0087201F">
        <w:rPr>
          <w:lang w:eastAsia="en-US"/>
        </w:rPr>
        <w:t>B</w:t>
      </w:r>
      <w:r w:rsidRPr="00DB6694">
        <w:rPr>
          <w:lang w:eastAsia="en-US"/>
        </w:rPr>
        <w:t xml:space="preserve">iogeochemistry and </w:t>
      </w:r>
      <w:r w:rsidR="0087201F">
        <w:rPr>
          <w:lang w:eastAsia="en-US"/>
        </w:rPr>
        <w:t>E</w:t>
      </w:r>
      <w:r w:rsidRPr="00177966">
        <w:rPr>
          <w:lang w:eastAsia="en-US"/>
        </w:rPr>
        <w:t xml:space="preserve">cosystem </w:t>
      </w:r>
      <w:r w:rsidR="0087201F">
        <w:rPr>
          <w:lang w:eastAsia="en-US"/>
        </w:rPr>
        <w:t>R</w:t>
      </w:r>
      <w:r w:rsidRPr="00177966">
        <w:rPr>
          <w:lang w:eastAsia="en-US"/>
        </w:rPr>
        <w:t>esearch).</w:t>
      </w:r>
    </w:p>
    <w:p w14:paraId="73465ADF" w14:textId="77D50D9A" w:rsidR="00EF4C2F" w:rsidRPr="00177966" w:rsidRDefault="006214BC" w:rsidP="00177966">
      <w:pPr>
        <w:rPr>
          <w:lang w:eastAsia="en-US"/>
        </w:rPr>
      </w:pPr>
      <w:r>
        <w:rPr>
          <w:lang w:eastAsia="en-US"/>
        </w:rPr>
        <w:t>The next</w:t>
      </w:r>
      <w:r w:rsidR="00EF4C2F" w:rsidRPr="00177966">
        <w:rPr>
          <w:lang w:eastAsia="en-US"/>
        </w:rPr>
        <w:t xml:space="preserve"> major R&amp;D strategic challenge is to connect the marine ecosystem community across the fields of meteorology, climate, oceanography and biology. </w:t>
      </w:r>
      <w:r w:rsidR="000028B2">
        <w:rPr>
          <w:lang w:eastAsia="en-US"/>
        </w:rPr>
        <w:t>This is a critical pre-requisite to overcoming (</w:t>
      </w:r>
      <w:proofErr w:type="spellStart"/>
      <w:r w:rsidR="000028B2">
        <w:rPr>
          <w:lang w:eastAsia="en-US"/>
        </w:rPr>
        <w:t>i</w:t>
      </w:r>
      <w:proofErr w:type="spellEnd"/>
      <w:r w:rsidR="000028B2">
        <w:rPr>
          <w:lang w:eastAsia="en-US"/>
        </w:rPr>
        <w:t>) the domain’s l</w:t>
      </w:r>
      <w:r w:rsidR="000028B2" w:rsidRPr="00177966">
        <w:rPr>
          <w:lang w:eastAsia="en-US"/>
        </w:rPr>
        <w:t>ack</w:t>
      </w:r>
      <w:r w:rsidR="000028B2">
        <w:rPr>
          <w:lang w:eastAsia="en-US"/>
        </w:rPr>
        <w:t xml:space="preserve"> (or patchiness)</w:t>
      </w:r>
      <w:r w:rsidR="000028B2" w:rsidRPr="00177966">
        <w:rPr>
          <w:lang w:eastAsia="en-US"/>
        </w:rPr>
        <w:t xml:space="preserve"> </w:t>
      </w:r>
      <w:r w:rsidR="00EF4C2F" w:rsidRPr="00177966">
        <w:rPr>
          <w:lang w:eastAsia="en-US"/>
        </w:rPr>
        <w:t xml:space="preserve">of data, </w:t>
      </w:r>
      <w:r w:rsidR="000028B2">
        <w:rPr>
          <w:lang w:eastAsia="en-US"/>
        </w:rPr>
        <w:t xml:space="preserve">(ii) </w:t>
      </w:r>
      <w:r w:rsidR="00EF4C2F" w:rsidRPr="00177966">
        <w:rPr>
          <w:lang w:eastAsia="en-US"/>
        </w:rPr>
        <w:t>development of accurate high</w:t>
      </w:r>
      <w:r w:rsidR="009D6874">
        <w:rPr>
          <w:lang w:eastAsia="en-US"/>
        </w:rPr>
        <w:t xml:space="preserve"> </w:t>
      </w:r>
      <w:r w:rsidR="00EF4C2F" w:rsidRPr="00177966">
        <w:rPr>
          <w:lang w:eastAsia="en-US"/>
        </w:rPr>
        <w:t>end</w:t>
      </w:r>
      <w:r w:rsidR="0018377D">
        <w:rPr>
          <w:lang w:eastAsia="en-US"/>
        </w:rPr>
        <w:t xml:space="preserve"> to end</w:t>
      </w:r>
      <w:r w:rsidR="00EF4C2F" w:rsidRPr="00177966">
        <w:rPr>
          <w:lang w:eastAsia="en-US"/>
        </w:rPr>
        <w:t xml:space="preserve"> models, </w:t>
      </w:r>
      <w:r w:rsidR="000028B2">
        <w:rPr>
          <w:lang w:eastAsia="en-US"/>
        </w:rPr>
        <w:t xml:space="preserve">(iii) </w:t>
      </w:r>
      <w:r w:rsidR="00EF4C2F" w:rsidRPr="00177966">
        <w:rPr>
          <w:lang w:eastAsia="en-US"/>
        </w:rPr>
        <w:t xml:space="preserve">global coverage and </w:t>
      </w:r>
      <w:r w:rsidR="000028B2">
        <w:rPr>
          <w:lang w:eastAsia="en-US"/>
        </w:rPr>
        <w:t xml:space="preserve">the </w:t>
      </w:r>
      <w:r w:rsidR="00EF4C2F" w:rsidRPr="00177966">
        <w:rPr>
          <w:lang w:eastAsia="en-US"/>
        </w:rPr>
        <w:t>need for exchange.</w:t>
      </w:r>
    </w:p>
    <w:p w14:paraId="6D192155" w14:textId="4D37657C" w:rsidR="00EF4C2F" w:rsidRPr="00177966" w:rsidRDefault="00EF4C2F" w:rsidP="00177966">
      <w:pPr>
        <w:rPr>
          <w:lang w:eastAsia="en-US"/>
        </w:rPr>
      </w:pPr>
      <w:r w:rsidRPr="00177966">
        <w:rPr>
          <w:lang w:eastAsia="en-US"/>
        </w:rPr>
        <w:t xml:space="preserve">The objective of the MESOPP project is to meet this challenge </w:t>
      </w:r>
      <w:r w:rsidR="000028B2">
        <w:rPr>
          <w:lang w:eastAsia="en-US"/>
        </w:rPr>
        <w:t xml:space="preserve">and create links across the fields, pulling the marine ecosystem together. </w:t>
      </w:r>
      <w:proofErr w:type="gramStart"/>
      <w:r w:rsidR="000028B2">
        <w:rPr>
          <w:lang w:eastAsia="en-US"/>
        </w:rPr>
        <w:t>In particular, to</w:t>
      </w:r>
      <w:proofErr w:type="gramEnd"/>
      <w:r w:rsidRPr="00177966">
        <w:rPr>
          <w:lang w:eastAsia="en-US"/>
        </w:rPr>
        <w:t>:</w:t>
      </w:r>
    </w:p>
    <w:p w14:paraId="7820B1B0" w14:textId="77777777" w:rsidR="00EF4C2F" w:rsidRPr="00177966" w:rsidRDefault="00EF4C2F" w:rsidP="00997B9C">
      <w:pPr>
        <w:pStyle w:val="ListParagraph"/>
        <w:numPr>
          <w:ilvl w:val="0"/>
          <w:numId w:val="5"/>
        </w:numPr>
        <w:rPr>
          <w:lang w:eastAsia="en-US"/>
        </w:rPr>
      </w:pPr>
      <w:r w:rsidRPr="00177966">
        <w:rPr>
          <w:lang w:eastAsia="en-US"/>
        </w:rPr>
        <w:t>Make an inventory of science challenges, stakes and existing policies and develop tools to federate and structure the community;</w:t>
      </w:r>
    </w:p>
    <w:p w14:paraId="194D97DD" w14:textId="1E591793" w:rsidR="00EF4C2F" w:rsidRPr="00177966" w:rsidRDefault="00EF4C2F" w:rsidP="00997B9C">
      <w:pPr>
        <w:pStyle w:val="ListParagraph"/>
        <w:numPr>
          <w:ilvl w:val="0"/>
          <w:numId w:val="5"/>
        </w:numPr>
        <w:rPr>
          <w:lang w:eastAsia="en-US"/>
        </w:rPr>
      </w:pPr>
      <w:r w:rsidRPr="00177966">
        <w:rPr>
          <w:lang w:eastAsia="en-US"/>
        </w:rPr>
        <w:t xml:space="preserve">Start to organise the related marine ecosystem community between </w:t>
      </w:r>
      <w:r w:rsidR="000028B2">
        <w:rPr>
          <w:lang w:eastAsia="en-US"/>
        </w:rPr>
        <w:t xml:space="preserve">the </w:t>
      </w:r>
      <w:r w:rsidRPr="00177966">
        <w:rPr>
          <w:lang w:eastAsia="en-US"/>
        </w:rPr>
        <w:t>EU and Australia through two implementation actions</w:t>
      </w:r>
    </w:p>
    <w:p w14:paraId="50C7B48E" w14:textId="613D18B1" w:rsidR="00EF4C2F" w:rsidRPr="00177966" w:rsidRDefault="00EF4C2F" w:rsidP="00997B9C">
      <w:pPr>
        <w:pStyle w:val="ListParagraph"/>
        <w:numPr>
          <w:ilvl w:val="0"/>
          <w:numId w:val="5"/>
        </w:numPr>
        <w:rPr>
          <w:lang w:eastAsia="en-US"/>
        </w:rPr>
      </w:pPr>
      <w:r w:rsidRPr="00177966">
        <w:rPr>
          <w:lang w:eastAsia="en-US"/>
        </w:rPr>
        <w:t>Propose a R&amp;D roadmap to support a large international cooperation on marine ecosystems based on a</w:t>
      </w:r>
      <w:r w:rsidR="000028B2">
        <w:rPr>
          <w:lang w:eastAsia="en-US"/>
        </w:rPr>
        <w:t>n</w:t>
      </w:r>
      <w:r w:rsidRPr="00177966">
        <w:rPr>
          <w:lang w:eastAsia="en-US"/>
        </w:rPr>
        <w:t xml:space="preserve"> e-infrastructure</w:t>
      </w:r>
      <w:r w:rsidR="000028B2">
        <w:rPr>
          <w:lang w:eastAsia="en-US"/>
        </w:rPr>
        <w:t>, adding</w:t>
      </w:r>
      <w:r w:rsidRPr="00177966">
        <w:rPr>
          <w:lang w:eastAsia="en-US"/>
        </w:rPr>
        <w:t xml:space="preserve"> additional countries such as USA, New Zealand, Canada (in the Frame of the Galway statement), Brazil and all active countries already involved in large organisations such as IMBER, CCAMLR or IMOS.</w:t>
      </w:r>
    </w:p>
    <w:p w14:paraId="18667911" w14:textId="77777777" w:rsidR="006214BC" w:rsidRDefault="00EF4C2F" w:rsidP="00177966">
      <w:pPr>
        <w:rPr>
          <w:lang w:val="en-US" w:eastAsia="en-US"/>
        </w:rPr>
      </w:pPr>
      <w:r w:rsidRPr="00177966">
        <w:rPr>
          <w:lang w:val="en-US" w:eastAsia="en-US"/>
        </w:rPr>
        <w:t>MESOPP will focus on the enhancement of collaborations by eliminating various obstacles in establishing a common methodology and a connected network of databases of acoustic data for the estimation of micronekton biomass and validation of models</w:t>
      </w:r>
      <w:r w:rsidR="00434915">
        <w:rPr>
          <w:lang w:val="en-US" w:eastAsia="en-US"/>
        </w:rPr>
        <w:t>. I</w:t>
      </w:r>
      <w:r w:rsidRPr="00177966">
        <w:rPr>
          <w:lang w:val="en-US" w:eastAsia="en-US"/>
        </w:rPr>
        <w:t xml:space="preserve">t will also contribute to a better predictive understanding of the SO based on furthering the knowledge base on key functional groups of micronekton and processes which determine ecosystem dynamics from physics to large oceanic predators. </w:t>
      </w:r>
    </w:p>
    <w:p w14:paraId="2E3F2D9C" w14:textId="77777777" w:rsidR="00EF4C2F" w:rsidRDefault="00EF4C2F" w:rsidP="00177966">
      <w:pPr>
        <w:rPr>
          <w:lang w:val="en-US" w:eastAsia="en-US"/>
        </w:rPr>
      </w:pPr>
      <w:r w:rsidRPr="00177966">
        <w:rPr>
          <w:lang w:val="en-US" w:eastAsia="en-US"/>
        </w:rPr>
        <w:t xml:space="preserve">This first project and associated implementation (science network and specification of an infrastructure) should constitute the nucleus of </w:t>
      </w:r>
      <w:r w:rsidR="005B2986" w:rsidRPr="00177966">
        <w:rPr>
          <w:lang w:val="en-US" w:eastAsia="en-US"/>
        </w:rPr>
        <w:t>a larger international program</w:t>
      </w:r>
      <w:r w:rsidRPr="00177966">
        <w:rPr>
          <w:lang w:val="en-US" w:eastAsia="en-US"/>
        </w:rPr>
        <w:t xml:space="preserve"> of acoustic monitoring and micronekton modelling to be integrated in the general framework of ocean observation following a roadmap that will be prepared during the project.</w:t>
      </w:r>
    </w:p>
    <w:p w14:paraId="0673C02E" w14:textId="77777777" w:rsidR="00C4439C" w:rsidRPr="00177966" w:rsidRDefault="00C4439C" w:rsidP="00177966">
      <w:pPr>
        <w:rPr>
          <w:lang w:eastAsia="en-US"/>
        </w:rPr>
      </w:pPr>
    </w:p>
    <w:p w14:paraId="48C5887F" w14:textId="77777777" w:rsidR="00DB6694" w:rsidRDefault="00DB6694" w:rsidP="00177966">
      <w:pPr>
        <w:sectPr w:rsidR="00DB6694" w:rsidSect="00EF4C2F">
          <w:headerReference w:type="even" r:id="rId19"/>
          <w:headerReference w:type="default" r:id="rId20"/>
          <w:pgSz w:w="11909" w:h="16834" w:code="9"/>
          <w:pgMar w:top="1418" w:right="1418" w:bottom="1588" w:left="1446" w:header="283" w:footer="556" w:gutter="0"/>
          <w:cols w:space="720"/>
          <w:docGrid w:linePitch="272"/>
        </w:sectPr>
      </w:pPr>
    </w:p>
    <w:p w14:paraId="5D124D45" w14:textId="2F0E561F" w:rsidR="00EE7B88" w:rsidRDefault="00817A6F" w:rsidP="00EE7B88">
      <w:pPr>
        <w:pStyle w:val="Heading1"/>
        <w:numPr>
          <w:ilvl w:val="0"/>
          <w:numId w:val="1"/>
        </w:numPr>
        <w:rPr>
          <w:rFonts w:asciiTheme="minorHAnsi" w:hAnsiTheme="minorHAnsi"/>
        </w:rPr>
      </w:pPr>
      <w:bookmarkStart w:id="7" w:name="_Toc2505284"/>
      <w:bookmarkEnd w:id="5"/>
      <w:bookmarkEnd w:id="6"/>
      <w:r w:rsidRPr="00177966">
        <w:rPr>
          <w:rFonts w:asciiTheme="minorHAnsi" w:hAnsiTheme="minorHAnsi"/>
        </w:rPr>
        <w:lastRenderedPageBreak/>
        <w:t>Introduction</w:t>
      </w:r>
      <w:bookmarkEnd w:id="7"/>
    </w:p>
    <w:p w14:paraId="4342E13A" w14:textId="49172E2B" w:rsidR="008F175D" w:rsidRDefault="008F175D" w:rsidP="005B070A">
      <w:r w:rsidRPr="00EB57C8">
        <w:t>The Commission for the Conservation of Antarctic Marine Living Resources (CCAMLR</w:t>
      </w:r>
      <w:r>
        <w:t>, established 1982</w:t>
      </w:r>
      <w:r w:rsidRPr="00EB57C8">
        <w:t>)</w:t>
      </w:r>
      <w:r>
        <w:t xml:space="preserve"> has, </w:t>
      </w:r>
      <w:proofErr w:type="gramStart"/>
      <w:r>
        <w:t>in an effort to</w:t>
      </w:r>
      <w:proofErr w:type="gramEnd"/>
      <w:r>
        <w:t xml:space="preserve"> conserve Antarctic marine life, established various </w:t>
      </w:r>
      <w:r w:rsidR="005B0635">
        <w:t xml:space="preserve">Southern Ocean </w:t>
      </w:r>
      <w:r>
        <w:t>marine protected areas (MPAs)</w:t>
      </w:r>
      <w:r w:rsidR="005B0635">
        <w:t>,</w:t>
      </w:r>
      <w:r>
        <w:t xml:space="preserve"> with varying levels of protection. These include the South Orkney Islands Southern shelf MPA (2009) and Ross Sea MPA (2016) and others are now being proposed in and around East Antarctica.</w:t>
      </w:r>
      <w:r w:rsidR="004B5A69">
        <w:t xml:space="preserve"> </w:t>
      </w:r>
      <w:r w:rsidR="0031568E">
        <w:t>Mesopelagic</w:t>
      </w:r>
      <w:r w:rsidR="004B5A69">
        <w:t xml:space="preserve"> fish</w:t>
      </w:r>
      <w:r w:rsidR="0031568E">
        <w:t xml:space="preserve"> </w:t>
      </w:r>
      <w:r w:rsidR="004B5A69">
        <w:t xml:space="preserve">(e.g. myctophids) form an important component of Southern Ocean food-webs and </w:t>
      </w:r>
      <w:r w:rsidR="001F20C6">
        <w:t xml:space="preserve">may </w:t>
      </w:r>
      <w:r w:rsidR="004B5A69">
        <w:t>contribute substantially to the biological carbon pump, which facilities the biological transfer of atmospheric carbon to the seabed</w:t>
      </w:r>
      <w:r w:rsidR="001F20C6">
        <w:t xml:space="preserve"> </w:t>
      </w:r>
      <w:r w:rsidR="001F20C6">
        <w:fldChar w:fldCharType="begin" w:fldLock="1"/>
      </w:r>
      <w:r w:rsidR="002D710F">
        <w:instrText xml:space="preserve">ADDIN CSL_CITATION {"citationItems":[{"id":"ITEM-1","itemData":{"author":[{"dropping-particle":"","family":"Davison","given":"P.C.","non-dropping-particle":"","parse-names":false,"suffix":""}],"id":"ITEM-1","issued":{"date-parts":[["2011"]]},"number-of-pages":"149","publisher":"University of California, San Diego","title":"The Export of Carbon Mediated by Mesopelagic Fishes in the Northeast Pacific Ocean","type":"thesis"},"uris":["http://www.mendeley.com/documents/?uuid=d61bda72-6052-4f20-91e7-61bc8d4b9817"]},{"id":"ITEM-2","itemData":{"DOI":"10.1038/nature13123","ISBN":"0028-0836","ISSN":"14764687","PMID":"24670767","abstract":"Photosynthesis in the surface ocean produces approximately 100 gigatonnes of organic carbon per year, of which 5 to 15 per cent is exported to the deep ocean 1,2 . The rate at which the sinking carbon is converted into carbon dioxide by heterotrophic organisms at depth is important in controlling oceanic carbon storage 3 . It remains uncer-tain, however, to what extent surface ocean carbon supply meets the demand of water-column biota; the discrepancy between known carbon sources and sinks is as much as two orders of magnitude 4–8 . Here we present field measurements, respiration rate estimates and a steady-state model that allow us to balance carbon sources and sinks to within observational uncertainties at the Porcupine Abyssal Plain site in the eastern North Atlantic Ocean. We find that pro-karyotes are responsible for 70 to 92 per cent of the estimated remin-eralization in the twilight zone (depths of 50 to 1,000 metres) despite the fact that much of the organic carbon is exported in the form of large, fast-sinking particles accessible to larger zooplankton. We suggest that this occurs because zooplankton fragment and ingest half of the fast-sinking particles, of which more than 30 per cent may be released as suspended and slowly sinking matter, stimulating the deep-ocean microbial loop. The synergy between microbes and zoo-plankton in the twilight zone is important to our understanding of the processes controlling the oceanic carbon sink. The global carbon cycle is affected by biological processes in the oceans, which export carbon from surface waters in the form of organic matter and store it at depth, in a process called the 'biological carbon pump'. Most of the exported organic carbon is processed by the water-column biota, which ultimately convert it into CO 2 by means of respiration (remineralization). Variations in the resulting decrease in organic flux with depth 9 can, according to models, lead to changes in atmospheric CO 2 of up to 200 p.p.m. (ref. 3), indicating a strong coupling between biological activity in the ocean interior and oceanic storage of CO 2 . A key constraint in the analysis of carbon fluxes in the twilight zone is that, in the steady state, the attenuation of particulate organic carbon (POC) flux with depth should be balanced by community metabolism. Published estimates of POC flux attenuation with depth are, however, up to two orders of magnitude lower than corresponding estimates of het-erotrophic metabolism 4–7 . This…","author":[{"dropping-particle":"","family":"Giering","given":"Sarah L.C.","non-dropping-particle":"","parse-names":false,"suffix":""},{"dropping-particle":"","family":"Sanders","given":"Richard","non-dropping-particle":"","parse-names":false,"suffix":""},{"dropping-particle":"","family":"Lampitt","given":"Richard S.","non-dropping-particle":"","parse-names":false,"suffix":""},{"dropping-particle":"","family":"Anderson","given":"Thomas R.","non-dropping-particle":"","parse-names":false,"suffix":""},{"dropping-particle":"","family":"Tamburini","given":"Christian","non-dropping-particle":"","parse-names":false,"suffix":""},{"dropping-particle":"","family":"Boutrif","given":"Mehdi","non-dropping-particle":"","parse-names":false,"suffix":""},{"dropping-particle":"V.","family":"Zubkov","given":"Mikhail","non-dropping-particle":"","parse-names":false,"suffix":""},{"dropping-particle":"","family":"Marsay","given":"Chris M.","non-dropping-particle":"","parse-names":false,"suffix":""},{"dropping-particle":"","family":"Henson","given":"Stephanie A.","non-dropping-particle":"","parse-names":false,"suffix":""},{"dropping-particle":"","family":"Saw","given":"Kevin","non-dropping-particle":"","parse-names":false,"suffix":""},{"dropping-particle":"","family":"Cook","given":"Kathryn","non-dropping-particle":"","parse-names":false,"suffix":""},{"dropping-particle":"","family":"Mayor","given":"Daniel J.","non-dropping-particle":"","parse-names":false,"suffix":""}],"container-title":"Nature","id":"ITEM-2","issue":"7493","issued":{"date-parts":[["2014"]]},"page":"480-483","title":"Reconciliation of the carbon budget in the ocean's twilight zone","type":"article-journal","volume":"507"},"uris":["http://www.mendeley.com/documents/?uuid=46853b17-d21e-4b4d-b50b-c5bad6767856"]},{"id":"ITEM-3","itemData":{"DOI":"10.5670/oceanog.2001.06","ISBN":"1042-8275","ISSN":"10428275","PMID":"2185","abstract":"Biology, physics and gravity interact to pump organic carbon into the deep sea. The processes of fixation of inorganic carbon in organic matter during photosynthesis, its transformation by foodweb processes (trophodynamics), physical mixing, transport and gravitational settling are referred to collectively as the “biological pump” (Figure 1). When the Global Ocean Flux Study (GOFS) began in 1984 in the U.S., followed in 1987 by the international Joint Global Ocean Flux Study (JGOFS), several ideas about the functioning of the biological pump formed the conceptual core of the fledgling program: </w:instrText>
      </w:r>
      <w:r w:rsidR="002D710F">
        <w:rPr>
          <w:rFonts w:ascii="Cambria Math" w:hAnsi="Cambria Math" w:cs="Cambria Math"/>
        </w:rPr>
        <w:instrText>◆</w:instrText>
      </w:r>
      <w:r w:rsidR="002D710F">
        <w:instrText xml:space="preserve"> The biological and physical processes in the ocean that control the air-sea carbon dioxide (CO2) balance are key factors in the planetary climate system. </w:instrText>
      </w:r>
      <w:r w:rsidR="002D710F">
        <w:rPr>
          <w:rFonts w:ascii="Cambria Math" w:hAnsi="Cambria Math" w:cs="Cambria Math"/>
        </w:rPr>
        <w:instrText>◆</w:instrText>
      </w:r>
      <w:r w:rsidR="002D710F">
        <w:instrText xml:space="preserve"> The efficiency of the biological pump, expressed as the amount of carbon exported from the surface layer divided by the total amount produced through photosynthesis, is determined by foodweb processes. </w:instrText>
      </w:r>
      <w:r w:rsidR="002D710F">
        <w:rPr>
          <w:rFonts w:ascii="Cambria Math" w:hAnsi="Cambria Math" w:cs="Cambria Math"/>
        </w:rPr>
        <w:instrText>◆</w:instrText>
      </w:r>
      <w:r w:rsidR="002D710F">
        <w:instrText xml:space="preserve"> Pump efficiency and export processes can be monitored and understood through a global network of sediment traps and satellite sensors, informed by process studies and models. In this article, we review the antecedents of JGOFS thought on the relationship between biological processes and carbon export and highlight some JGOFS achievements. We then look ahead to suggest where the field is headed and what the major problems are now, after more than a decade of multidisciplinary research in JGOFS.","author":[{"dropping-particle":"","family":"Ducklow","given":"H.W.","non-dropping-particle":"","parse-names":false,"suffix":""},{"dropping-particle":"","family":"Steinberg","given":"D.K.","non-dropping-particle":"","parse-names":false,"suffix":""},{"dropping-particle":"","family":"Buesseler","given":"K.O.","non-dropping-particle":"","parse-names":false,"suffix":""}],"container-title":"Oceanography","id":"ITEM-3","issue":"4","issued":{"date-parts":[["2001"]]},"page":"50–58","title":"Upper ocean carbon export and the biological pump","type":"article-journal","volume":"14"},"uris":["http://www.mendeley.com/documents/?uuid=3218eb35-e3f9-48a5-8e4c-8196110c2686"]},{"id":"ITEM-4","itemData":{"DOI":"10.3354/meps12612","ISSN":"0171-8630","abstract":"Most multicellular biomass in the mesopelagic zone (200−1000 m) comprises zoo- plankton and fish aggregated in layers known as sound scattering layers (SSLs), which scatter sound and are detectable using echosounders. Some of these animals migrate vertically to and from the near surface on a daily cycle (diel vertical migration, DVM), transporting carbon between the surface and the deep ocean (biological carbon pump, BCP). To gain insight into potential global variability in the contribution of SSLs to the BCP, and to pelagic ecology generally (SSLs are likely prey fields for numerous predators), we investigated regional-scale (90 000 km2) community depth structure based on the fine-scale (10s of m) vertical distribution of SSLs. We extracted SSLs from a near-global dataset of 38 kHz echosounder observations and constructed local (300 km × 300 km) SSL depth and echo intensity (a proxy for biomass) probability distributions. The proba- bility distributions fell into 6 spatially coherent regional-scale SSL probability distribution (RSPD) groups. All but 1 RSPD exhibited clear DVM, and all RSPDs included stable night-time resident deep scattering layers (DSLs: SSLs deeper than 200 m). Analysis of DSL number and stability (probability of observation at depth) revealed 2 distinct DSL types: (1) single-shallow DSL (a single DSL at ca. 500 m) and (2) double-deep DSL (2 DSLs at ca. 600 and 850 m). By including consider- ation of this fine-scale depth structure in biogeographic partitions and ecosystem models, we will better understand the role of mesopelagic communities in pelagic food webs and the conse- quences of climate change for these communities.","author":[{"dropping-particle":"","family":"Proud","given":"R.","non-dropping-particle":"","parse-names":false,"suffix":""},{"dropping-particle":"","family":"Cox","given":"M.J.","non-dropping-particle":"","parse-names":false,"suffix":""},{"dropping-particle":"","family":"Guen","given":"C.","non-dropping-particle":"Le","parse-names":false,"suffix":""},{"dropping-particle":"","family":"Brierley","given":"A.S.","non-dropping-particle":"","parse-names":false,"suffix":""}],"container-title":"Marine Ecology Progress Series","id":"ITEM-4","issued":{"date-parts":[["2018","6","28"]]},"page":"35-48","title":"Fine-scale depth structure of pelagic communities throughout the global ocean based on acoustic sound scattering layers","type":"article-journal","volume":"598"},"uris":["http://www.mendeley.com/documents/?uuid=5a273cd3-6fe5-4fd2-9ae2-def10f87343e"]}],"mendeley":{"formattedCitation":"(Ducklow et al. 2001, Davison 2011, Giering et al. 2014, Proud, Cox, Le Guen, et al. 2018)","plainTextFormattedCitation":"(Ducklow et al. 2001, Davison 2011, Giering et al. 2014, Proud, Cox, Le Guen, et al. 2018)","previouslyFormattedCitation":"(Ducklow et al. 2001, Davison 2011, Giering et al. 2014, Proud, Cox, Le Guen, et al. 2018)"},"properties":{"noteIndex":0},"schema":"https://github.com/citation-style-language/schema/raw/master/csl-citation.json"}</w:instrText>
      </w:r>
      <w:r w:rsidR="001F20C6">
        <w:fldChar w:fldCharType="separate"/>
      </w:r>
      <w:r w:rsidR="002D710F" w:rsidRPr="002D710F">
        <w:rPr>
          <w:noProof/>
        </w:rPr>
        <w:t>(Ducklow et al. 2001, Davison 2011, Giering et al. 2014, Proud, Cox, Le Guen, et al. 2018)</w:t>
      </w:r>
      <w:r w:rsidR="001F20C6">
        <w:fldChar w:fldCharType="end"/>
      </w:r>
      <w:r w:rsidR="004B5A69">
        <w:t>.</w:t>
      </w:r>
      <w:r w:rsidR="001F20C6">
        <w:t xml:space="preserve"> </w:t>
      </w:r>
      <w:r w:rsidR="0031568E">
        <w:t>Mesopelagic fish occupy the mesopelagic zone (200-1000 m) during the daytime and most migrate vertically at night to feed at the surface</w:t>
      </w:r>
      <w:r w:rsidR="001F20C6">
        <w:t xml:space="preserve"> </w:t>
      </w:r>
      <w:r w:rsidR="001F20C6">
        <w:fldChar w:fldCharType="begin" w:fldLock="1"/>
      </w:r>
      <w:r w:rsidR="002D710F">
        <w:instrText>ADDIN CSL_CITATION {"citationItems":[{"id":"ITEM-1","itemData":{"DOI":"10.1007/s11160-010-9176-4","ISBN":"0960-3166","ISSN":"09603166","abstract":"Myctophids are mesopelagic fishes belonging to family Myctophidae. They are represented by approx. 250 species in 33 genera. Called as \"Lanternfishes\", they inhabit all oceans except the Arctic. They are well-known for exhibiting adaptations to oxygen minimum zones (OMZ-in the upper 2,000 m) and also performing diel vertical migration between the meso- and epipelagic regions. True to their name, lanternfishes possess glowing effect due to the presence of the photophores systematically arranged on their body, one of the important characteristic adding to their unique ecological features. Mid-water trawling is a conventional method of catching these fishes which usually accounts for biomass approx. in million tones as seen in Arabian Sea (20-100 million) or Southern ocean (70-200 million). Ecologically, myctophids link primary consumers like copepods, euphausiids and top predators like squids, whales and penguins in a typical food web. Lantern fishes become a major part of deep scattering layers (DSL) during migration along with other fauna such as euphausiids, medusae, fish juveniles, etc. Like any other marine organisms, Myctophids are susceptible to parasites like siphonostomatoid copepods, nematode larvae etc. in natural habitats. They are important contributors of organic carbon in the form of their remnants and fast sinking faeces, which get deposited on ocean beds. Economically, they are a good source of protein, lipids and minerals, which is used as fishmeal for poultry and animal feed and as crop fertilizers. Few species are considered edible, but proper processing difficulties on a higher scale limit myctophids as human food. Myctophids have a life span of approx. 1-5 years and low fecundity rates (100-2,000 eggs per spawn). This trait is a disadvantage, if continuous utilization of their population, for e.g., for fish meal industries etc., occurs without giving them a chance to revive and recover. Hence, research in this area also should be given utmost importance. In this paper, we have tried to compile information and ideas from various sources of myctophid research around the world, particularly from the Indian Ocean, to understand their ecological and economic importance and also to put forth new ideas to bring about conservation and restoration of this vulnerable resource.[PUBLICATION ABSTRACT]","author":[{"dropping-particle":"","family":"Catul","given":"Venecia","non-dropping-particle":"","parse-names":false,"suffix":""},{"dropping-particle":"","family":"Gauns","given":"Manguesh","non-dropping-particle":"","parse-names":false,"suffix":""},{"dropping-particle":"","family":"Karuppasamy","given":"P. K.","non-dropping-particle":"","parse-names":false,"suffix":""}],"container-title":"Reviews in Fish Biology and Fisheries","id":"ITEM-1","issue":"3","issued":{"date-parts":[["2011"]]},"page":"339-354","title":"A review on mesopelagic fishes belonging to family Myctophidae","type":"article-journal","volume":"21"},"uris":["http://www.mendeley.com/documents/?uuid=f007d35b-5c25-44c9-b0eb-eb6c41571df4"]}],"mendeley":{"formattedCitation":"(Catul et al. 2011)","plainTextFormattedCitation":"(Catul et al. 2011)","previouslyFormattedCitation":"(Catul et al. 2011)"},"properties":{"noteIndex":0},"schema":"https://github.com/citation-style-language/schema/raw/master/csl-citation.json"}</w:instrText>
      </w:r>
      <w:r w:rsidR="001F20C6">
        <w:fldChar w:fldCharType="separate"/>
      </w:r>
      <w:r w:rsidR="002D710F" w:rsidRPr="002D710F">
        <w:rPr>
          <w:noProof/>
        </w:rPr>
        <w:t>(Catul et al. 2011)</w:t>
      </w:r>
      <w:r w:rsidR="001F20C6">
        <w:fldChar w:fldCharType="end"/>
      </w:r>
      <w:r w:rsidR="0031568E">
        <w:t xml:space="preserve">. Their global biomass is between 1.6 and 16 </w:t>
      </w:r>
      <w:r w:rsidR="001F20C6">
        <w:t>gigatons</w:t>
      </w:r>
      <w:r w:rsidR="003D2F7D">
        <w:t xml:space="preserve"> </w:t>
      </w:r>
      <w:r w:rsidR="003D2F7D">
        <w:fldChar w:fldCharType="begin" w:fldLock="1"/>
      </w:r>
      <w:r w:rsidR="002D710F">
        <w:instrText>ADDIN CSL_CITATION {"citationItems":[{"id":"ITEM-1","itemData":{"DOI":"10.1093/icesjms/fsy037","ISSN":"1054-3139","author":[{"dropping-particle":"","family":"Proud","given":"Roland","non-dropping-particle":"","parse-names":false,"suffix":""},{"dropping-particle":"","family":"Handegard","given":"Nils Olav","non-dropping-particle":"","parse-names":false,"suffix":""},{"dropping-particle":"","family":"Kloser","given":"Rudy J","non-dropping-particle":"","parse-names":false,"suffix":""},{"dropping-particle":"","family":"Cox","given":"Martin J","non-dropping-particle":"","parse-names":false,"suffix":""},{"dropping-particle":"","family":"Brierley","given":"Andrew S","non-dropping-particle":"","parse-names":false,"suffix":""}],"container-title":"ICES Journal of Marine Science","id":"ITEM-1","issue":"April","issued":{"date-parts":[["2018","4","19"]]},"title":"From siphonophores to deep scattering layers: uncertainty ranges for the estimation of global mesopelagic fish biomass","type":"article-journal"},"uris":["http://www.mendeley.com/documents/?uuid=e8a0fd33-5084-4780-bc38-46edf7bdadc8"]}],"mendeley":{"formattedCitation":"(Proud, Handegard, Kloser, et al. 2018)","plainTextFormattedCitation":"(Proud, Handegard, Kloser, et al. 2018)","previouslyFormattedCitation":"(Proud, Handegard, Kloser, et al. 2018)"},"properties":{"noteIndex":0},"schema":"https://github.com/citation-style-language/schema/raw/master/csl-citation.json"}</w:instrText>
      </w:r>
      <w:r w:rsidR="003D2F7D">
        <w:fldChar w:fldCharType="separate"/>
      </w:r>
      <w:r w:rsidR="002D710F" w:rsidRPr="002D710F">
        <w:rPr>
          <w:noProof/>
        </w:rPr>
        <w:t>(Proud, Handegard, Kloser, et al. 2018)</w:t>
      </w:r>
      <w:r w:rsidR="003D2F7D">
        <w:fldChar w:fldCharType="end"/>
      </w:r>
      <w:r w:rsidR="00787762">
        <w:t xml:space="preserve"> </w:t>
      </w:r>
      <w:r w:rsidR="0031568E">
        <w:t>and may yet provide a sustainable fishery of the future</w:t>
      </w:r>
      <w:r w:rsidR="001F20C6">
        <w:t xml:space="preserve"> </w:t>
      </w:r>
      <w:r w:rsidR="001F20C6">
        <w:fldChar w:fldCharType="begin" w:fldLock="1"/>
      </w:r>
      <w:r w:rsidR="002D710F">
        <w:instrText>ADDIN CSL_CITATION {"citationItems":[{"id":"ITEM-1","itemData":{"DOI":"10.3389/fmars.2016.00031","ISBN":"doi:10.3389/fmars.2016.00031","ISSN":"2296-7745","abstract":"In the face of increasing anthropogenic pressures acting on the Earth system, urgent actions are needed to guarantee efficient resource management and sustainable development for our growing human population. Our oceans - the largest underexplored component of the Earth system - are potentially home for a large number of new resources, which can directly impact upon food security and the wellbeing of humanity. However, the extraction of these resources has repercussions for biodiversity and the oceans ability to sequester green house gases and thereby climate. In the search for “new resources” to unlock the economic potential of the global oceans, recent observations have identified a large unexploited biomass of mesopelagic fish living in the deep ocean. This biomass has recently been estimated to be 10 billion metric tonnes, 10 times larger than previous estimates however the real biomass is still in question. If we are able to exploit this community at sustainable levels without impacting upon biodiversity and compromising the oceans’ ability to sequester carbon, we can produce more food and potentially many new nutraceutical products. However, to meet the needs of present generations without compromising the needs of future generations, we need to guarantee a sustainable exploitation of these resources. To do so requires a holistic assessment of the community and an understanding of the mechanisms controlling this biomass, its role in the preservation of biodiversity and its influence on climate as well as management tools able to weigh the costs and benefits of exploitation of this community.","author":[{"dropping-particle":"","family":"John","given":"Michael A.","non-dropping-particle":"St.","parse-names":false,"suffix":""},{"dropping-particle":"","family":"Borja","given":"Angel","non-dropping-particle":"","parse-names":false,"suffix":""},{"dropping-particle":"","family":"Chust","given":"Guillem","non-dropping-particle":"","parse-names":false,"suffix":""},{"dropping-particle":"","family":"Heath","given":"Michael","non-dropping-particle":"","parse-names":false,"suffix":""},{"dropping-particle":"","family":"Grigorov","given":"Ivo","non-dropping-particle":"","parse-names":false,"suffix":""},{"dropping-particle":"","family":"Mariani","given":"Patrizio","non-dropping-particle":"","parse-names":false,"suffix":""},{"dropping-particle":"","family":"Martin","given":"Adrian P.","non-dropping-particle":"","parse-names":false,"suffix":""},{"dropping-particle":"","family":"Santos","given":"Ricardo S.","non-dropping-particle":"","parse-names":false,"suffix":""}],"container-title":"Frontiers in Marine Science","id":"ITEM-1","issue":"March","issued":{"date-parts":[["2016"]]},"page":"1-6","title":"A Dark Hole in Our Understanding of Marine Ecosystems and Their Services: Perspectives from the Mesopelagic Community","type":"article-journal","volume":"3"},"uris":["http://www.mendeley.com/documents/?uuid=27e650ea-b14f-4c6f-93f3-6c4fe69ae981"]}],"mendeley":{"formattedCitation":"(St. John et al. 2016)","plainTextFormattedCitation":"(St. John et al. 2016)","previouslyFormattedCitation":"(St. John et al. 2016)"},"properties":{"noteIndex":0},"schema":"https://github.com/citation-style-language/schema/raw/master/csl-citation.json"}</w:instrText>
      </w:r>
      <w:r w:rsidR="001F20C6">
        <w:fldChar w:fldCharType="separate"/>
      </w:r>
      <w:r w:rsidR="002D710F" w:rsidRPr="002D710F">
        <w:rPr>
          <w:noProof/>
        </w:rPr>
        <w:t>(St. John et al. 2016)</w:t>
      </w:r>
      <w:r w:rsidR="001F20C6">
        <w:fldChar w:fldCharType="end"/>
      </w:r>
      <w:r w:rsidR="0031568E">
        <w:t xml:space="preserve">. To partition the Southern Ocean into distinct mesopelagic fish habitats, and therefore gain insight into the role </w:t>
      </w:r>
      <w:r w:rsidR="00B6187D">
        <w:t xml:space="preserve">of mesopelagic fish </w:t>
      </w:r>
      <w:r w:rsidR="0031568E">
        <w:t>in Southern Ocean pelagic food-webs</w:t>
      </w:r>
      <w:r w:rsidR="006E1652">
        <w:t xml:space="preserve"> and ecosystem function</w:t>
      </w:r>
      <w:r w:rsidR="0031568E">
        <w:t xml:space="preserve">, we must first link environmental variability with changes in </w:t>
      </w:r>
      <w:r w:rsidR="006E1652">
        <w:t>mesopelagic fish</w:t>
      </w:r>
      <w:r w:rsidR="0031568E">
        <w:t xml:space="preserve"> biomass and behaviour.</w:t>
      </w:r>
    </w:p>
    <w:p w14:paraId="225799A7" w14:textId="1F800718" w:rsidR="003663E0" w:rsidRDefault="003663E0" w:rsidP="003663E0">
      <w:pPr>
        <w:pStyle w:val="Heading2"/>
      </w:pPr>
      <w:bookmarkStart w:id="8" w:name="_Toc2505285"/>
      <w:r>
        <w:t xml:space="preserve">Deep scattering </w:t>
      </w:r>
      <w:r w:rsidR="001F20C6">
        <w:t>l</w:t>
      </w:r>
      <w:r>
        <w:t>ayers</w:t>
      </w:r>
      <w:bookmarkEnd w:id="8"/>
    </w:p>
    <w:p w14:paraId="15AE6939" w14:textId="69FB35F2" w:rsidR="003663E0" w:rsidRDefault="003663E0" w:rsidP="003663E0">
      <w:r>
        <w:t>The mesopelagic community can be studied using active-acoustics (e.g. echosounders): layers that occupy discrete depth ranges within this zone are known as deep scattering layers (DSLs). The depth of the DSL varies geographically and over time</w:t>
      </w:r>
      <w:r w:rsidR="003D2F7D">
        <w:t xml:space="preserve"> </w:t>
      </w:r>
      <w:r w:rsidR="003D2F7D">
        <w:fldChar w:fldCharType="begin" w:fldLock="1"/>
      </w:r>
      <w:r w:rsidR="002D710F">
        <w:instrText>ADDIN CSL_CITATION {"citationItems":[{"id":"ITEM-1","itemData":{"DOI":"10.1093/icesjms/fsp077","ISBN":"1054-3139","ISSN":"1054-3139","abstract":"Acoustic methods of characterizing micronekton communities ($2 to 20 cm length) on the scale of an ocean basin could provide valuable inputs to ecosystem-based fishery management, marine planning, and monitoring the effects of climate change. The micro- nekton fish are important forage for top predators (e.g. tunas), and information on their diversity, distribution, size-structure, and abundance is needed to increase accuracy of top-predator distribution and abundance predictions. At the scale of an ocean basin, four years of Tasman Sea transects using a fishing vessel provide fine-scale maps of acoustic backscatter at 38 kHz that reveal detailed spatial patterns and structure to depths of 1200 m. Research-vessel data provide detailed biodiversity, density, size structure, and acoustic-scattering information from depth-stratified net sampling and a lowered acoustic probe. Wet-weight biomass estimates of the micronekton fish in the region vary considerably by a factor of 5–58 between acoustics (16–29 g m22), nets (1.6 g m22), and large spatial-scale, ecological models (0.5–3 g m22). We demonstrate the potential and challenges of an acoustic basin-scale, fishing-vessel monitoring programme, including optical and net sensing, which could assist in characterizing the biodiversity, distribution, and biomass of the micronekton fish","author":[{"dropping-particle":"","family":"Kloser","given":"Rudy J.","non-dropping-particle":"","parse-names":false,"suffix":""},{"dropping-particle":"","family":"Ryan","given":"Tim E.","non-dropping-particle":"","parse-names":false,"suffix":""},{"dropping-particle":"","family":"Young","given":"Jock W.","non-dropping-particle":"","parse-names":false,"suffix":""},{"dropping-particle":"","family":"Lewis","given":"Mark E.","non-dropping-particle":"","parse-names":false,"suffix":""}],"container-title":"ICES Journal of Marine Science","id":"ITEM-1","issue":"6","issued":{"date-parts":[["2009","7","1"]]},"page":"998-1006","title":"Acoustic observations of micronekton fish on the scale of an ocean basin: potential and challenges","type":"article-journal","volume":"66"},"uris":["http://www.mendeley.com/documents/?uuid=52625ca4-aece-4f31-962b-1cf14a2d23bb"]},{"id":"ITEM-2","itemData":{"DOI":"10.1038/ncomms4271","ISSN":"2041-1723","PMID":"24509953","abstract":"With a current estimate of ~1,000 million tons, mesopelagic fishes likely dominate the world total fishes biomass. However, recent acoustic observations show that mesopelagic fishes biomass could be significantly larger than the current estimate. Here we combine modelling and a sensitivity analysis of the acoustic observations from the Malaspina 2010 Circumnavigation Expedition to show that the previous estimate needs to be revised to at least one order of magnitude higher. We show that there is a close relationship between the open ocean fishes biomass and primary production, and that the energy transfer efficiency from phytoplankton to mesopelagic fishes in the open ocean is higher than what is typically assumed. Our results indicate that the role of mesopelagic fishes in oceanic ecosystems and global ocean biogeochemical cycles needs to be revised as they may be respiring ~10% of the primary production in deep waters.","author":[{"dropping-particle":"","family":"Irigoien","given":"Xabier","non-dropping-particle":"","parse-names":false,"suffix":""},{"dropping-particle":"","family":"Klevjer","given":"T A","non-dropping-particle":"","parse-names":false,"suffix":""},{"dropping-particle":"","family":"Røstad","given":"A","non-dropping-particle":"","parse-names":false,"suffix":""},{"dropping-particle":"","family":"Martinez","given":"U","non-dropping-particle":"","parse-names":false,"suffix":""},{"dropping-particle":"","family":"Boyra","given":"G","non-dropping-particle":"","parse-names":false,"suffix":""},{"dropping-particle":"","family":"Acuña","given":"J L","non-dropping-particle":"","parse-names":false,"suffix":""},{"dropping-particle":"","family":"Bode","given":"A","non-dropping-particle":"","parse-names":false,"suffix":""},{"dropping-particle":"","family":"Echevarria","given":"F","non-dropping-particle":"","parse-names":false,"suffix":""},{"dropping-particle":"","family":"Gonzalez-Gordillo","given":"J I","non-dropping-particle":"","parse-names":false,"suffix":""},{"dropping-particle":"","family":"Hernandez-Leon","given":"S","non-dropping-particle":"","parse-names":false,"suffix":""},{"dropping-particle":"","family":"Agusti","given":"S","non-dropping-particle":"","parse-names":false,"suffix":""},{"dropping-particle":"","family":"Aksnes","given":"D L","non-dropping-particle":"","parse-names":false,"suffix":""},{"dropping-particle":"","family":"Duarte","given":"C M","non-dropping-particle":"","parse-names":false,"suffix":""},{"dropping-particle":"","family":"Kaartvedt","given":"S","non-dropping-particle":"","parse-names":false,"suffix":""}],"container-title":"Nature Communications","id":"ITEM-2","issue":"May 2013","issued":{"date-parts":[["2014","2","7"]]},"page":"3271","title":"Large mesopelagic fishes biomass and trophic efficiency in the open ocean","type":"article-journal","volume":"5"},"uris":["http://www.mendeley.com/documents/?uuid=bad8c6a4-15c7-4bb9-a08e-20aa75488c49"]},{"id":"ITEM-3","itemData":{"DOI":"10.1016/j.cub.2016.11.003","ISSN":"09609822","abstract":"The global ocean's near surface can be partitioned into distinct provinces on the basis of regional primary productivity and oceanography [1]. This ecological geography provides a valuable framework for understanding spatial variability in ecosystem function but has relevance only partway into the epipelagic zone (the top 200 m). The mesopelagic (200–1,000 m) makes up approximately 20% of the global ocean volume, plays important roles in biogeochemical cycling [2], and holds potentially huge fish resources [3–5]. It is, however, hidden from satellite observation, and a lack of globally consistent data has prevented development of a global-scale understanding. Acoustic deep scattering layers (DSLs) are prominent features of the mesopelagic. These vertically narrow (tens to hundreds of m) but horizontally extensive (continuous for tens to thousands of km) layers comprise fish and zooplankton and are readily detectable using echosounders. We have compiled a database of DSL characteristics globally. We show that DSL depth and acoustic backscattering intensity (a measure of biomass) can be modeled accurately using just surface primary productivity, temperature, and wind stress. Spatial variability in these environmental factors leads to a natural partition of the mesopelagic into ten distinct classes. These classes demark a more complex biogeography than the latitudinally banded schemes proposed before [6, 7]. Knowledge of how environmental factors influence the mesopelagic enables future change to be explored: we predict that by 2100 there will be widespread homogenization of mesopelagic communities and that mesopelagic biomass could increase by approximately 17%. The biomass increase requires increased trophic efficiency, which could arise because of ocean warming and DSL shallowing.","author":[{"dropping-particle":"","family":"Proud","given":"Roland","non-dropping-particle":"","parse-names":false,"suffix":""},{"dropping-particle":"","family":"Cox","given":"Martin J.","non-dropping-particle":"","parse-names":false,"suffix":""},{"dropping-particle":"","family":"Brierley","given":"Andrew S.","non-dropping-particle":"","parse-names":false,"suffix":""}],"container-title":"Current Biology","id":"ITEM-3","issue":"1","issued":{"date-parts":[["2017","1"]]},"page":"113-119","publisher":"Elsevier Ltd.","title":"Biogeography of the Global Ocean’s Mesopelagic Zone","type":"article-journal","volume":"27"},"uris":["http://www.mendeley.com/documents/?uuid=f18c21b3-1980-46ab-8070-53c6fc36af2d"]},{"id":"ITEM-4","itemData":{"DOI":"10.3354/meps12612","ISSN":"0171-8630","abstract":"Most multicellular biomass in the mesopelagic zone (200−1000 m) comprises zoo- plankton and fish aggregated in layers known as sound scattering layers (SSLs), which scatter sound and are detectable using echosounders. Some of these animals migrate vertically to and from the near surface on a daily cycle (diel vertical migration, DVM), transporting carbon between the surface and the deep ocean (biological carbon pump, BCP). To gain insight into potential global variability in the contribution of SSLs to the BCP, and to pelagic ecology generally (SSLs are likely prey fields for numerous predators), we investigated regional-scale (90 000 km2) community depth structure based on the fine-scale (10s of m) vertical distribution of SSLs. We extracted SSLs from a near-global dataset of 38 kHz echosounder observations and constructed local (300 km × 300 km) SSL depth and echo intensity (a proxy for biomass) probability distributions. The proba- bility distributions fell into 6 spatially coherent regional-scale SSL probability distribution (RSPD) groups. All but 1 RSPD exhibited clear DVM, and all RSPDs included stable night-time resident deep scattering layers (DSLs: SSLs deeper than 200 m). Analysis of DSL number and stability (probability of observation at depth) revealed 2 distinct DSL types: (1) single-shallow DSL (a single DSL at ca. 500 m) and (2) double-deep DSL (2 DSLs at ca. 600 and 850 m). By including consider- ation of this fine-scale depth structure in biogeographic partitions and ecosystem models, we will better understand the role of mesopelagic communities in pelagic food webs and the conse- quences of climate change for these communities.","author":[{"dropping-particle":"","family":"Proud","given":"R.","non-dropping-particle":"","parse-names":false,"suffix":""},{"dropping-particle":"","family":"Cox","given":"M.J.","non-dropping-particle":"","parse-names":false,"suffix":""},{"dropping-particle":"","family":"Guen","given":"C.","non-dropping-particle":"Le","parse-names":false,"suffix":""},{"dropping-particle":"","family":"Brierley","given":"A.S.","non-dropping-particle":"","parse-names":false,"suffix":""}],"container-title":"Marine Ecology Progress Series","id":"ITEM-4","issued":{"date-parts":[["2018","6","28"]]},"page":"35-48","title":"Fine-scale depth structure of pelagic communities throughout the global ocean based on acoustic sound scattering layers","type":"article-journal","volume":"598"},"uris":["http://www.mendeley.com/documents/?uuid=5a273cd3-6fe5-4fd2-9ae2-def10f87343e"]}],"mendeley":{"formattedCitation":"(Kloser et al. 2009, Irigoien et al. 2014, Proud et al. 2017, Proud, Cox, Le Guen, et al. 2018)","plainTextFormattedCitation":"(Kloser et al. 2009, Irigoien et al. 2014, Proud et al. 2017, Proud, Cox, Le Guen, et al. 2018)","previouslyFormattedCitation":"(Kloser et al. 2009, Irigoien et al. 2014, Proud et al. 2017, Proud, Cox, Le Guen, et al. 2018)"},"properties":{"noteIndex":0},"schema":"https://github.com/citation-style-language/schema/raw/master/csl-citation.json"}</w:instrText>
      </w:r>
      <w:r w:rsidR="003D2F7D">
        <w:fldChar w:fldCharType="separate"/>
      </w:r>
      <w:r w:rsidR="002D710F" w:rsidRPr="002D710F">
        <w:rPr>
          <w:noProof/>
        </w:rPr>
        <w:t>(Kloser et al. 2009, Irigoien et al. 2014, Proud et al. 2017, Proud, Cox, Le Guen, et al. 2018)</w:t>
      </w:r>
      <w:r w:rsidR="003D2F7D">
        <w:fldChar w:fldCharType="end"/>
      </w:r>
      <w:r>
        <w:t xml:space="preserve">. This variance is predictable and observations of DSL depth have been related to environmental drivers such as light intensity </w:t>
      </w:r>
      <w:r>
        <w:fldChar w:fldCharType="begin" w:fldLock="1"/>
      </w:r>
      <w:r w:rsidR="002D710F">
        <w:instrText>ADDIN CSL_CITATION {"citationItems":[{"id":"ITEM-1","itemData":{"DOI":"10.1023/B:HYDR.0000008476.23617.b0","ISSN":"0018-8158","author":[{"dropping-particle":"","family":"Hays","given":"Graeme C.","non-dropping-particle":"","parse-names":false,"suffix":""}],"container-title":"Hydrobiologia","id":"ITEM-1","issue":"1-3","issued":{"date-parts":[["2003","8"]]},"page":"163-170","title":"A review of the adaptive significance and ecosystem consequences of zooplankton diel vertical migrations","type":"article-journal","volume":"503"},"uris":["http://www.mendeley.com/documents/?uuid=da02fee1-2730-440f-9f8e-713bae478d3e"]},{"id":"ITEM-2","itemData":{"DOI":"10.1126/sciadv.1602468","ISSN":"2375-2548","abstract":"The deep scattering layer (DSL) is a ubiquitous acoustic signature found across all oceans and arguably the dominant feature structuring the pelagic open ocean ecosystem. It is formed by mesopelagic fishes and pelagic invertebrates. The DSL animals are an important food source for marine megafauna and contribute to the biological carbon pump through the active flux of organic carbon transported in their daily vertical migrations. They occupy depths from 200 to 1000 m at daytime and migrate to a varying degree into surface waters at nighttime. Their daytime depth, which determines the migration amplitude, varies across the global ocean in concert with water mass properties, in particular the oxygen regime, but the causal underpinning of these correlations has been unclear. We present evidence that the broad variability in the oceanic DSL daytime depth observed during the Malaspina 2010 Circumnavigation Expedition is governed by variation in light penetration. We find that the DSL depth distribution conforms to a common optical depth layer across the global ocean and that a correlation between dissolved oxygen and light penetration provides a parsimonious explanation for the association of shallow DSL distributions with hypoxic waters. In enhancing understanding of this phenomenon, our results should improve the ability to predict and model the dynamics of one of the largest animal biomass components on earth, with key roles in the oceanic biological carbon pump and food web.","author":[{"dropping-particle":"","family":"Aksnes","given":"Dag L.","non-dropping-particle":"","parse-names":false,"suffix":""},{"dropping-particle":"","family":"Røstad","given":"Anders","non-dropping-particle":"","parse-names":false,"suffix":""},{"dropping-particle":"","family":"Kaartvedt","given":"Stein","non-dropping-particle":"","parse-names":false,"suffix":""},{"dropping-particle":"","family":"Martinez","given":"Udane","non-dropping-particle":"","parse-names":false,"suffix":""},{"dropping-particle":"","family":"Duarte","given":"Carlos M.","non-dropping-particle":"","parse-names":false,"suffix":""},{"dropping-particle":"","family":"Irigoien","given":"Xabier","non-dropping-particle":"","parse-names":false,"suffix":""}],"container-title":"Science Advances","id":"ITEM-2","issue":"5","issued":{"date-parts":[["2017"]]},"page":"1-6","title":"Light penetration structures the deep acoustic scattering layers in the global ocean","type":"article-journal","volume":"3"},"uris":["http://www.mendeley.com/documents/?uuid=8dd9edb3-9401-4ebe-9187-f15f3fca44ba"]}],"mendeley":{"formattedCitation":"(Hays 2003, Aksnes et al. 2017)","plainTextFormattedCitation":"(Hays 2003, Aksnes et al. 2017)","previouslyFormattedCitation":"(Hays 2003, Aksnes et al. 2017)"},"properties":{"noteIndex":0},"schema":"https://github.com/citation-style-language/schema/raw/master/csl-citation.json"}</w:instrText>
      </w:r>
      <w:r>
        <w:fldChar w:fldCharType="separate"/>
      </w:r>
      <w:r w:rsidR="002D710F" w:rsidRPr="002D710F">
        <w:rPr>
          <w:noProof/>
        </w:rPr>
        <w:t>(Hays 2003, Aksnes et al. 2017)</w:t>
      </w:r>
      <w:r>
        <w:fldChar w:fldCharType="end"/>
      </w:r>
      <w:r>
        <w:t xml:space="preserve">, sea-water density </w:t>
      </w:r>
      <w:r>
        <w:fldChar w:fldCharType="begin" w:fldLock="1"/>
      </w:r>
      <w:r w:rsidR="002D710F">
        <w:instrText>ADDIN CSL_CITATION {"citationItems":[{"id":"ITEM-1","itemData":{"DOI":"10.1371/journal.pone.0030161","ISSN":"1932-6203","PMID":"22272294","abstract":"Mesoscale eddies stimulate biological production in the ocean, but knowledge of energy transfers to higher trophic levels within eddies remains fragmented and not quantified. Increasing the knowledge base is constrained by the inability of traditional sampling methods to adequately sample biological processes at the spatio-temporal scales at which they occur. By combining satellite and acoustic observations over spatial scales of 10 s of km horizontally and 100 s of m vertically, supported by hydrographical and biological sampling we show that anticyclonic eddies shape distribution and density of marine life from the surface to bathyal depths. Fish feed along density structures of eddies, demonstrating that eddies catalyze energy transfer across trophic levels. Eddies create attractive pelagic habitats, analogous to oases in the desert, for higher trophic level aquatic organisms through enhanced 3-D motion that accumulates and redistributes biomass, contributing to overall bioproduction in the ocean. Integrating multidisciplinary observation methodologies promoted a new understanding of biophysical interaction in mesoscale eddies. Our findings emphasize the impact of eddies on the patchiness of biomass in the sea and demonstrate that they provide rich feeding habitat for higher trophic marine life.","author":[{"dropping-particle":"","family":"Godø","given":"Olav R","non-dropping-particle":"","parse-names":false,"suffix":""},{"dropping-particle":"","family":"Samuelsen","given":"Annette","non-dropping-particle":"","parse-names":false,"suffix":""},{"dropping-particle":"","family":"Macaulay","given":"Gavin J","non-dropping-particle":"","parse-names":false,"suffix":""},{"dropping-particle":"","family":"Patel","given":"Ruben","non-dropping-particle":"","parse-names":false,"suffix":""},{"dropping-particle":"","family":"Hjøllo","given":"Solfrid Sætre","non-dropping-particle":"","parse-names":false,"suffix":""},{"dropping-particle":"","family":"Horne","given":"John","non-dropping-particle":"","parse-names":false,"suffix":""},{"dropping-particle":"","family":"Kaartvedt","given":"Stein","non-dropping-particle":"","parse-names":false,"suffix":""},{"dropping-particle":"","family":"Johannessen","given":"Johnny A","non-dropping-particle":"","parse-names":false,"suffix":""}],"container-title":"PloS one","id":"ITEM-1","issue":"1","issued":{"date-parts":[["2012","1"]]},"page":"e30161","title":"Mesoscale eddies are oases for higher trophic marine life.","type":"article-journal","volume":"7"},"uris":["http://www.mendeley.com/documents/?uuid=dfbd3073-d7d5-4dcb-910c-7c61dbffba2a"]}],"mendeley":{"formattedCitation":"(Godø et al. 2012)","plainTextFormattedCitation":"(Godø et al. 2012)","previouslyFormattedCitation":"(Godø et al. 2012)"},"properties":{"noteIndex":0},"schema":"https://github.com/citation-style-language/schema/raw/master/csl-citation.json"}</w:instrText>
      </w:r>
      <w:r>
        <w:fldChar w:fldCharType="separate"/>
      </w:r>
      <w:r w:rsidR="002D710F" w:rsidRPr="002D710F">
        <w:rPr>
          <w:noProof/>
        </w:rPr>
        <w:t>(Godø et al. 2012)</w:t>
      </w:r>
      <w:r>
        <w:fldChar w:fldCharType="end"/>
      </w:r>
      <w:r>
        <w:t xml:space="preserve">, wind-driven mixing </w:t>
      </w:r>
      <w:r>
        <w:fldChar w:fldCharType="begin" w:fldLock="1"/>
      </w:r>
      <w:r w:rsidR="002D710F">
        <w:instrText>ADDIN CSL_CITATION {"citationItems":[{"id":"ITEM-1","itemData":{"DOI":"10.1016/j.cub.2016.11.003","ISSN":"09609822","abstract":"The global ocean's near surface can be partitioned into distinct provinces on the basis of regional primary productivity and oceanography [1]. This ecological geography provides a valuable framework for understanding spatial variability in ecosystem function but has relevance only partway into the epipelagic zone (the top 200 m). The mesopelagic (200–1,000 m) makes up approximately 20% of the global ocean volume, plays important roles in biogeochemical cycling [2], and holds potentially huge fish resources [3–5]. It is, however, hidden from satellite observation, and a lack of globally consistent data has prevented development of a global-scale understanding. Acoustic deep scattering layers (DSLs) are prominent features of the mesopelagic. These vertically narrow (tens to hundreds of m) but horizontally extensive (continuous for tens to thousands of km) layers comprise fish and zooplankton and are readily detectable using echosounders. We have compiled a database of DSL characteristics globally. We show that DSL depth and acoustic backscattering intensity (a measure of biomass) can be modeled accurately using just surface primary productivity, temperature, and wind stress. Spatial variability in these environmental factors leads to a natural partition of the mesopelagic into ten distinct classes. These classes demark a more complex biogeography than the latitudinally banded schemes proposed before [6, 7]. Knowledge of how environmental factors influence the mesopelagic enables future change to be explored: we predict that by 2100 there will be widespread homogenization of mesopelagic communities and that mesopelagic biomass could increase by approximately 17%. The biomass increase requires increased trophic efficiency, which could arise because of ocean warming and DSL shallowing.","author":[{"dropping-particle":"","family":"Proud","given":"Roland","non-dropping-particle":"","parse-names":false,"suffix":""},{"dropping-particle":"","family":"Cox","given":"Martin J.","non-dropping-particle":"","parse-names":false,"suffix":""},{"dropping-particle":"","family":"Brierley","given":"Andrew S.","non-dropping-particle":"","parse-names":false,"suffix":""}],"container-title":"Current Biology","id":"ITEM-1","issue":"1","issued":{"date-parts":[["2017","1"]]},"page":"113-119","publisher":"Elsevier Ltd.","title":"Biogeography of the Global Ocean’s Mesopelagic Zone","type":"article-journal","volume":"27"},"uris":["http://www.mendeley.com/documents/?uuid=f18c21b3-1980-46ab-8070-53c6fc36af2d"]}],"mendeley":{"formattedCitation":"(Proud et al. 2017)","plainTextFormattedCitation":"(Proud et al. 2017)","previouslyFormattedCitation":"(Proud et al. 2017)"},"properties":{"noteIndex":0},"schema":"https://github.com/citation-style-language/schema/raw/master/csl-citation.json"}</w:instrText>
      </w:r>
      <w:r>
        <w:fldChar w:fldCharType="separate"/>
      </w:r>
      <w:r w:rsidR="002D710F" w:rsidRPr="002D710F">
        <w:rPr>
          <w:noProof/>
        </w:rPr>
        <w:t>(Proud et al. 2017)</w:t>
      </w:r>
      <w:r>
        <w:fldChar w:fldCharType="end"/>
      </w:r>
      <w:r>
        <w:t xml:space="preserve"> and oxygen concentration </w:t>
      </w:r>
      <w:r>
        <w:fldChar w:fldCharType="begin" w:fldLock="1"/>
      </w:r>
      <w:r w:rsidR="002D710F">
        <w:instrText>ADDIN CSL_CITATION {"citationItems":[{"id":"ITEM-1","itemData":{"DOI":"10.1038/ngeo1837","ISBN":"1752-0894","ISSN":"1752-0894","abstract":"Throughout the ocean, countless small animals swim to depth in the daytime, presumably to seek refuge from large predators1,2. These animals return to the surface at night to feed1,2. This substantial diel vertical migration can result in the transfer of significant amounts of carbon and nutrients from the surface to depth3–7. However, its consequences on ocean chemistry at the global scale have remained uncertain8,9. Here, we determine the depths of these diel migrations in the global ocean using a global array of backscatter data from acoustic Doppler current profilers, collected between 1990 and 2011. We show that the depth of diel migration follows coherent large-scale patterns. We find that migration depth is greater where subsurface oxygen concentrations are high, such that seawater oxygen concentration is the best single predictor of migration depth at the global scale. In oxygen minimum zone areas, migratory animals generally descend as far as the upper margins of the low-oxygen waters. Using an ocean biogeochemical model coupled to a general circulation model, we show that by focusing oxygen consumption in poorly ventilated regions of the upper ocean, diel vertical migration intensifies oxygen depletion in the upper margin of oxygen minimum zones. We suggest that future changes in the extent of oxygen minimum zones could alter the migratory depths of marine organisms, with consequences for marine biogeochemistry, foodwebs and fisheries","author":[{"dropping-particle":"","family":"Bianchi","given":"Daniele","non-dropping-particle":"","parse-names":false,"suffix":""},{"dropping-particle":"","family":"Galbraith","given":"Eric D.","non-dropping-particle":"","parse-names":false,"suffix":""},{"dropping-particle":"","family":"Carozza","given":"David A.","non-dropping-particle":"","parse-names":false,"suffix":""},{"dropping-particle":"","family":"Mislan","given":"K. A. S.","non-dropping-particle":"","parse-names":false,"suffix":""},{"dropping-particle":"","family":"Stock","given":"Charles A.","non-dropping-particle":"","parse-names":false,"suffix":""}],"container-title":"Nature Geoscience","id":"ITEM-1","issue":"7","issued":{"date-parts":[["2013"]]},"page":"545-548","publisher":"Nature Publishing Group","title":"Intensification of open-ocean oxygen depletion by vertically migrating animals","type":"article-journal","volume":"6"},"uris":["http://www.mendeley.com/documents/?uuid=58042930-53c1-41af-ba11-2a15fe565a4d"]},{"id":"ITEM-2","itemData":{"DOI":"10.1038/srep19873","ISSN":"2045-2322","author":[{"dropping-particle":"","family":"Klevjer","given":"T A","non-dropping-particle":"","parse-names":false,"suffix":""},{"dropping-particle":"","family":"Irigoien","given":"X","non-dropping-particle":"","parse-names":false,"suffix":""},{"dropping-particle":"","family":"Røstad","given":"A","non-dropping-particle":"","parse-names":false,"suffix":""},{"dropping-particle":"","family":"Fraile-Nuez","given":"E","non-dropping-particle":"","parse-names":false,"suffix":""},{"dropping-particle":"","family":"Benítez-Barrios","given":"V M","non-dropping-particle":"","parse-names":false,"suffix":""},{"dropping-particle":"","family":"Kaartvedt.","given":"S.","non-dropping-particle":"","parse-names":false,"suffix":""}],"container-title":"Scientific Reports","id":"ITEM-2","issue":"August 2015","issued":{"date-parts":[["2016","1","27"]]},"page":"19873","publisher":"Nature Publishing Group","title":"Large scale patterns in vertical distribution and behaviour of mesopelagic scattering layers","type":"article-journal","volume":"6"},"uris":["http://www.mendeley.com/documents/?uuid=32c2ecfd-b958-4a91-9d09-f2e9fa11af60"]}],"mendeley":{"formattedCitation":"(Bianchi et al. 2013, Klevjer et al. 2016)","plainTextFormattedCitation":"(Bianchi et al. 2013, Klevjer et al. 2016)","previouslyFormattedCitation":"(Bianchi et al. 2013, Klevjer et al. 2016)"},"properties":{"noteIndex":0},"schema":"https://github.com/citation-style-language/schema/raw/master/csl-citation.json"}</w:instrText>
      </w:r>
      <w:r>
        <w:fldChar w:fldCharType="separate"/>
      </w:r>
      <w:r w:rsidR="002D710F" w:rsidRPr="002D710F">
        <w:rPr>
          <w:noProof/>
        </w:rPr>
        <w:t>(Bianchi et al. 2013, Klevjer et al. 2016)</w:t>
      </w:r>
      <w:r>
        <w:fldChar w:fldCharType="end"/>
      </w:r>
      <w:r>
        <w:t xml:space="preserve">. DSL echo intensity, often used as a proxy for biomass, has also been linked to primary production and temperature </w:t>
      </w:r>
      <w:r>
        <w:fldChar w:fldCharType="begin" w:fldLock="1"/>
      </w:r>
      <w:r w:rsidR="002D710F">
        <w:instrText>ADDIN CSL_CITATION {"citationItems":[{"id":"ITEM-1","itemData":{"DOI":"10.1038/ncomms4271","ISSN":"2041-1723","PMID":"24509953","abstract":"With a current estimate of ~1,000 million tons, mesopelagic fishes likely dominate the world total fishes biomass. However, recent acoustic observations show that mesopelagic fishes biomass could be significantly larger than the current estimate. Here we combine modelling and a sensitivity analysis of the acoustic observations from the Malaspina 2010 Circumnavigation Expedition to show that the previous estimate needs to be revised to at least one order of magnitude higher. We show that there is a close relationship between the open ocean fishes biomass and primary production, and that the energy transfer efficiency from phytoplankton to mesopelagic fishes in the open ocean is higher than what is typically assumed. Our results indicate that the role of mesopelagic fishes in oceanic ecosystems and global ocean biogeochemical cycles needs to be revised as they may be respiring ~10% of the primary production in deep waters.","author":[{"dropping-particle":"","family":"Irigoien","given":"Xabier","non-dropping-particle":"","parse-names":false,"suffix":""},{"dropping-particle":"","family":"Klevjer","given":"T A","non-dropping-particle":"","parse-names":false,"suffix":""},{"dropping-particle":"","family":"Røstad","given":"A","non-dropping-particle":"","parse-names":false,"suffix":""},{"dropping-particle":"","family":"Martinez","given":"U","non-dropping-particle":"","parse-names":false,"suffix":""},{"dropping-particle":"","family":"Boyra","given":"G","non-dropping-particle":"","parse-names":false,"suffix":""},{"dropping-particle":"","family":"Acuña","given":"J L","non-dropping-particle":"","parse-names":false,"suffix":""},{"dropping-particle":"","family":"Bode","given":"A","non-dropping-particle":"","parse-names":false,"suffix":""},{"dropping-particle":"","family":"Echevarria","given":"F","non-dropping-particle":"","parse-names":false,"suffix":""},{"dropping-particle":"","family":"Gonzalez-Gordillo","given":"J I","non-dropping-particle":"","parse-names":false,"suffix":""},{"dropping-particle":"","family":"Hernandez-Leon","given":"S","non-dropping-particle":"","parse-names":false,"suffix":""},{"dropping-particle":"","family":"Agusti","given":"S","non-dropping-particle":"","parse-names":false,"suffix":""},{"dropping-particle":"","family":"Aksnes","given":"D L","non-dropping-particle":"","parse-names":false,"suffix":""},{"dropping-particle":"","family":"Duarte","given":"C M","non-dropping-particle":"","parse-names":false,"suffix":""},{"dropping-particle":"","family":"Kaartvedt","given":"S","non-dropping-particle":"","parse-names":false,"suffix":""}],"container-title":"Nature Communications","id":"ITEM-1","issue":"May 2013","issued":{"date-parts":[["2014","2","7"]]},"page":"3271","title":"Large mesopelagic fishes biomass and trophic efficiency in the open ocean","type":"article-journal","volume":"5"},"uris":["http://www.mendeley.com/documents/?uuid=bad8c6a4-15c7-4bb9-a08e-20aa75488c49"]},{"id":"ITEM-2","itemData":{"DOI":"10.1016/j.dsr.2015.09.002","ISSN":"09670637","abstract":"The distribution and density of Deep Scattering Layers (DSLs) were quantified along North Atlantic transits from Ireland to the Grand Banks of Newfoundland in the springs of 2012, 2013 and 2014 employing a calibrated Simrad EK60 echo sounder at 38kHz. Concurrently, Sippican T5 XBTs (eXpendable Bathy Thermographs) were used to profile temperatures to 1800m. In each year the scattering layers spanned the deep basin at depths ranging from near surface to approximately 900m, but annual mean densities differed significantly. Higher DSL densities were recorded during years that exhibited higher sea temperatures at the depths of major DSL concentration (400-600m), higher sea level anomalies and stronger eastward geostrophic currents. The highest concentration of the DSLs in each year was found in the area east of the Grand Banks that corresponded with areas of anticyclonic eddies. In this region DSL densities in 2014 were among the highest recorded worldwide (&gt;7000m2nauticalmile-2). Midwater fishing indicated DSLs were dominated by Myctophids and Sternoptychids. Anticyclonic eddy formation is discussed as a possible means of transport and aggregation of the DSLs in that region, where oceanographic influences may play a dominant role in the distribution and density of the DSLs and upper trophic level fishes.","author":[{"dropping-particle":"","family":"Fennell","given":"Sheena","non-dropping-particle":"","parse-names":false,"suffix":""},{"dropping-particle":"","family":"Rose","given":"George","non-dropping-particle":"","parse-names":false,"suffix":""}],"container-title":"Deep-Sea Research Part I: Oceanographic Research Papers","id":"ITEM-2","issued":{"date-parts":[["2015"]]},"page":"132-141","publisher":"Elsevier","title":"Oceanographic influences on Deep Scattering Layers across the North Atlantic","type":"article-journal","volume":"105"},"uris":["http://www.mendeley.com/documents/?uuid=17293456-5a03-417a-9af0-1d7d207fb74d"]},{"id":"ITEM-3","itemData":{"DOI":"10.1016/j.cub.2016.11.003","ISSN":"09609822","abstract":"The global ocean's near surface can be partitioned into distinct provinces on the basis of regional primary productivity and oceanography [1]. This ecological geography provides a valuable framework for understanding spatial variability in ecosystem function but has relevance only partway into the epipelagic zone (the top 200 m). The mesopelagic (200–1,000 m) makes up approximately 20% of the global ocean volume, plays important roles in biogeochemical cycling [2], and holds potentially huge fish resources [3–5]. It is, however, hidden from satellite observation, and a lack of globally consistent data has prevented development of a global-scale understanding. Acoustic deep scattering layers (DSLs) are prominent features of the mesopelagic. These vertically narrow (tens to hundreds of m) but horizontally extensive (continuous for tens to thousands of km) layers comprise fish and zooplankton and are readily detectable using echosounders. We have compiled a database of DSL characteristics globally. We show that DSL depth and acoustic backscattering intensity (a measure of biomass) can be modeled accurately using just surface primary productivity, temperature, and wind stress. Spatial variability in these environmental factors leads to a natural partition of the mesopelagic into ten distinct classes. These classes demark a more complex biogeography than the latitudinally banded schemes proposed before [6, 7]. Knowledge of how environmental factors influence the mesopelagic enables future change to be explored: we predict that by 2100 there will be widespread homogenization of mesopelagic communities and that mesopelagic biomass could increase by approximately 17%. The biomass increase requires increased trophic efficiency, which could arise because of ocean warming and DSL shallowing.","author":[{"dropping-particle":"","family":"Proud","given":"Roland","non-dropping-particle":"","parse-names":false,"suffix":""},{"dropping-particle":"","family":"Cox","given":"Martin J.","non-dropping-particle":"","parse-names":false,"suffix":""},{"dropping-particle":"","family":"Brierley","given":"Andrew S.","non-dropping-particle":"","parse-names":false,"suffix":""}],"container-title":"Current Biology","id":"ITEM-3","issue":"1","issued":{"date-parts":[["2017","1"]]},"page":"113-119","publisher":"Elsevier Ltd.","title":"Biogeography of the Global Ocean’s Mesopelagic Zone","type":"article-journal","volume":"27"},"uris":["http://www.mendeley.com/documents/?uuid=f18c21b3-1980-46ab-8070-53c6fc36af2d"]}],"mendeley":{"formattedCitation":"(Irigoien et al. 2014, Fennell &amp; Rose 2015, Proud et al. 2017)","plainTextFormattedCitation":"(Irigoien et al. 2014, Fennell &amp; Rose 2015, Proud et al. 2017)","previouslyFormattedCitation":"(Irigoien et al. 2014, Fennell &amp; Rose 2015, Proud et al. 2017)"},"properties":{"noteIndex":0},"schema":"https://github.com/citation-style-language/schema/raw/master/csl-citation.json"}</w:instrText>
      </w:r>
      <w:r>
        <w:fldChar w:fldCharType="separate"/>
      </w:r>
      <w:r w:rsidR="002D710F" w:rsidRPr="002D710F">
        <w:rPr>
          <w:noProof/>
        </w:rPr>
        <w:t>(Irigoien et al. 2014, Fennell &amp; Rose 2015, Proud et al. 2017)</w:t>
      </w:r>
      <w:r>
        <w:fldChar w:fldCharType="end"/>
      </w:r>
      <w:r>
        <w:t>.</w:t>
      </w:r>
    </w:p>
    <w:p w14:paraId="498F59A2" w14:textId="3D8FA5D2" w:rsidR="003663E0" w:rsidRPr="003663E0" w:rsidRDefault="003663E0" w:rsidP="005B070A">
      <w:pPr>
        <w:rPr>
          <w:rFonts w:ascii="Trebuchet MS" w:hAnsi="Trebuchet MS"/>
        </w:rPr>
      </w:pPr>
      <w:r>
        <w:t xml:space="preserve">Environmental barriers, such as Oxygen Minimum Zones and thermoclines can limit the depth range of species, but can also offer a haven from predators for those that are more adapted </w:t>
      </w:r>
      <w:r>
        <w:fldChar w:fldCharType="begin" w:fldLock="1"/>
      </w:r>
      <w:r w:rsidR="002D710F">
        <w:instrText>ADDIN CSL_CITATION {"citationItems":[{"id":"ITEM-1","itemData":{"DOI":"10.1007/s00227-012-1973-y","ISSN":"0025-3162","abstract":"The mesopelagic zone of the Red Sea represents an extreme environment due to low food concentrations, high temperatures and low oxygen waters. Nevertheless, a 38 kHz echosounder identified at least four distinct scat- tering layers during the daytime, of which the 2 deepest layers resided entirely within the mesopelagic zone. Two of the acoustic layers were found above a mesopelagic oxygen minimum zone (OMZ), one layer overlapped with the OMZ, and one layer was found below the OMZ. Almost all organisms in the deep layers migrated to the near-surface waters during the night. Backscatter from a 300 kHz low- ered Acoustic Doppler Current Profiler indicated a layer of zooplankton within the OMZ. They carried out DVM, yet a portion remained at mesopelagic depths during the night. Our acoustic measurements showed that the bulk of the acoustic backscatter was restricted to waters shallower than 800 m, suggesting that most of the biomass in the Red Sea resides above this depth.","author":[{"dropping-particle":"","family":"Klevjer","given":"Thor A","non-dropping-particle":"","parse-names":false,"suffix":""},{"dropping-particle":"","family":"Torres","given":"Daniel J","non-dropping-particle":"","parse-names":false,"suffix":""},{"dropping-particle":"","family":"Kaartvedt","given":"Stein","non-dropping-particle":"","parse-names":false,"suffix":""}],"container-title":"Marine Biology","id":"ITEM-1","issue":"8","issued":{"date-parts":[["2012","6","13"]]},"page":"1833-1841","title":"Distribution and diel vertical movements of mesopelagic scattering layers in the Red Sea","type":"article-journal","volume":"159"},"uris":["http://www.mendeley.com/documents/?uuid=bc11b8d4-5a95-4783-a617-faf573afab00"]}],"mendeley":{"formattedCitation":"(Klevjer et al. 2012)","plainTextFormattedCitation":"(Klevjer et al. 2012)","previouslyFormattedCitation":"(Klevjer et al. 2012)"},"properties":{"noteIndex":0},"schema":"https://github.com/citation-style-language/schema/raw/master/csl-citation.json"}</w:instrText>
      </w:r>
      <w:r>
        <w:fldChar w:fldCharType="separate"/>
      </w:r>
      <w:r w:rsidR="002D710F" w:rsidRPr="002D710F">
        <w:rPr>
          <w:noProof/>
        </w:rPr>
        <w:t>(Klevjer et al. 2012)</w:t>
      </w:r>
      <w:r>
        <w:fldChar w:fldCharType="end"/>
      </w:r>
      <w:r>
        <w:t xml:space="preserve">. Oceanic features such as eddies, gyres, currents and fronts affect DSL depth. Eddies that evolve at coarse scales (10 to 100’s km) can provide a rich feeding habitat, driven by continual upwelling of nutrients, shifting DSL structure </w:t>
      </w:r>
      <w:r>
        <w:fldChar w:fldCharType="begin" w:fldLock="1"/>
      </w:r>
      <w:r w:rsidR="002D710F">
        <w:instrText>ADDIN CSL_CITATION {"citationItems":[{"id":"ITEM-1","itemData":{"DOI":"10.1371/journal.pone.0030161","ISSN":"1932-6203","PMID":"22272294","abstract":"Mesoscale eddies stimulate biological production in the ocean, but knowledge of energy transfers to higher trophic levels within eddies remains fragmented and not quantified. Increasing the knowledge base is constrained by the inability of traditional sampling methods to adequately sample biological processes at the spatio-temporal scales at which they occur. By combining satellite and acoustic observations over spatial scales of 10 s of km horizontally and 100 s of m vertically, supported by hydrographical and biological sampling we show that anticyclonic eddies shape distribution and density of marine life from the surface to bathyal depths. Fish feed along density structures of eddies, demonstrating that eddies catalyze energy transfer across trophic levels. Eddies create attractive pelagic habitats, analogous to oases in the desert, for higher trophic level aquatic organisms through enhanced 3-D motion that accumulates and redistributes biomass, contributing to overall bioproduction in the ocean. Integrating multidisciplinary observation methodologies promoted a new understanding of biophysical interaction in mesoscale eddies. Our findings emphasize the impact of eddies on the patchiness of biomass in the sea and demonstrate that they provide rich feeding habitat for higher trophic marine life.","author":[{"dropping-particle":"","family":"Godø","given":"Olav R","non-dropping-particle":"","parse-names":false,"suffix":""},{"dropping-particle":"","family":"Samuelsen","given":"Annette","non-dropping-particle":"","parse-names":false,"suffix":""},{"dropping-particle":"","family":"Macaulay","given":"Gavin J","non-dropping-particle":"","parse-names":false,"suffix":""},{"dropping-particle":"","family":"Patel","given":"Ruben","non-dropping-particle":"","parse-names":false,"suffix":""},{"dropping-particle":"","family":"Hjøllo","given":"Solfrid Sætre","non-dropping-particle":"","parse-names":false,"suffix":""},{"dropping-particle":"","family":"Horne","given":"John","non-dropping-particle":"","parse-names":false,"suffix":""},{"dropping-particle":"","family":"Kaartvedt","given":"Stein","non-dropping-particle":"","parse-names":false,"suffix":""},{"dropping-particle":"","family":"Johannessen","given":"Johnny A","non-dropping-particle":"","parse-names":false,"suffix":""}],"container-title":"PloS one","id":"ITEM-1","issue":"1","issued":{"date-parts":[["2012","1"]]},"page":"e30161","title":"Mesoscale eddies are oases for higher trophic marine life.","type":"article-journal","volume":"7"},"uris":["http://www.mendeley.com/documents/?uuid=dfbd3073-d7d5-4dcb-910c-7c61dbffba2a"]}],"mendeley":{"formattedCitation":"(Godø et al. 2012)","plainTextFormattedCitation":"(Godø et al. 2012)","previouslyFormattedCitation":"(Godø et al. 2012)"},"properties":{"noteIndex":0},"schema":"https://github.com/citation-style-language/schema/raw/master/csl-citation.json"}</w:instrText>
      </w:r>
      <w:r>
        <w:fldChar w:fldCharType="separate"/>
      </w:r>
      <w:r w:rsidR="002D710F" w:rsidRPr="002D710F">
        <w:rPr>
          <w:noProof/>
        </w:rPr>
        <w:t>(Godø et al. 2012)</w:t>
      </w:r>
      <w:r>
        <w:fldChar w:fldCharType="end"/>
      </w:r>
      <w:r>
        <w:t xml:space="preserve">; this behaviour is thought to be a consequence of lethargic fish following paths of constant density and is contrary to the idea of a light driven DSL depth. Oceanic fronts at the sea surface, that are regions of increased production, have been associated with sharp rises in DSL depth </w:t>
      </w:r>
      <w:r>
        <w:fldChar w:fldCharType="begin" w:fldLock="1"/>
      </w:r>
      <w:r w:rsidR="002D710F">
        <w:instrText>ADDIN CSL_CITATION {"citationItems":[{"id":"ITEM-1","itemData":{"author":[{"dropping-particle":"","family":"Nicol","given":"Stephen","non-dropping-particle":"","parse-names":false,"suffix":""},{"dropping-particle":"","family":"Pauly","given":"Tim","non-dropping-particle":"","parse-names":false,"suffix":""},{"dropping-particle":"","family":"Bindoff","given":"NL","non-dropping-particle":"","parse-names":false,"suffix":""},{"dropping-particle":"","family":"Wright","given":"Simon","non-dropping-particle":"","parse-names":false,"suffix":""},{"dropping-particle":"","family":"Thiele","given":"Deborah","non-dropping-particle":"","parse-names":false,"suffix":""},{"dropping-particle":"","family":"Hosie","given":"Graham W","non-dropping-particle":"","parse-names":false,"suffix":""},{"dropping-particle":"","family":"Strutton","given":"Peter G","non-dropping-particle":"","parse-names":false,"suffix":""},{"dropping-particle":"","family":"Woehler","given":"Eric","non-dropping-particle":"","parse-names":false,"suffix":""}],"container-title":"Nature","id":"ITEM-1","issue":"August","issued":{"date-parts":[["2000"]]},"page":"504-507","title":"Ocean circulation off east Antarctica affects ecosystem structure and sea-ice extent","type":"article-journal","volume":"406"},"uris":["http://www.mendeley.com/documents/?uuid=e595d10d-ed2b-4e62-aa86-ac89d777e36c"]}],"mendeley":{"formattedCitation":"(Nicol et al. 2000)","plainTextFormattedCitation":"(Nicol et al. 2000)","previouslyFormattedCitation":"(Nicol et al. 2000)"},"properties":{"noteIndex":0},"schema":"https://github.com/citation-style-language/schema/raw/master/csl-citation.json"}</w:instrText>
      </w:r>
      <w:r>
        <w:fldChar w:fldCharType="separate"/>
      </w:r>
      <w:r w:rsidR="002D710F" w:rsidRPr="002D710F">
        <w:rPr>
          <w:noProof/>
        </w:rPr>
        <w:t>(Nicol et al. 2000)</w:t>
      </w:r>
      <w:r>
        <w:fldChar w:fldCharType="end"/>
      </w:r>
      <w:r>
        <w:t>, which could be related to reduced light penetration from increased PP at the surface. Mesopelagic communities often appear in the form of multiple DSLs and their arrangement normally shifts at twilight to form distinct day and night patterns</w:t>
      </w:r>
      <w:r w:rsidR="003D2F7D">
        <w:t xml:space="preserve"> </w:t>
      </w:r>
      <w:r w:rsidR="003D2F7D">
        <w:fldChar w:fldCharType="begin" w:fldLock="1"/>
      </w:r>
      <w:r w:rsidR="002D710F">
        <w:instrText>ADDIN CSL_CITATION {"citationItems":[{"id":"ITEM-1","itemData":{"DOI":"10.3354/meps12612","ISSN":"0171-8630","abstract":"Most multicellular biomass in the mesopelagic zone (200−1000 m) comprises zoo- plankton and fish aggregated in layers known as sound scattering layers (SSLs), which scatter sound and are detectable using echosounders. Some of these animals migrate vertically to and from the near surface on a daily cycle (diel vertical migration, DVM), transporting carbon between the surface and the deep ocean (biological carbon pump, BCP). To gain insight into potential global variability in the contribution of SSLs to the BCP, and to pelagic ecology generally (SSLs are likely prey fields for numerous predators), we investigated regional-scale (90 000 km2) community depth structure based on the fine-scale (10s of m) vertical distribution of SSLs. We extracted SSLs from a near-global dataset of 38 kHz echosounder observations and constructed local (300 km × 300 km) SSL depth and echo intensity (a proxy for biomass) probability distributions. The proba- bility distributions fell into 6 spatially coherent regional-scale SSL probability distribution (RSPD) groups. All but 1 RSPD exhibited clear DVM, and all RSPDs included stable night-time resident deep scattering layers (DSLs: SSLs deeper than 200 m). Analysis of DSL number and stability (probability of observation at depth) revealed 2 distinct DSL types: (1) single-shallow DSL (a single DSL at ca. 500 m) and (2) double-deep DSL (2 DSLs at ca. 600 and 850 m). By including consider- ation of this fine-scale depth structure in biogeographic partitions and ecosystem models, we will better understand the role of mesopelagic communities in pelagic food webs and the conse- quences of climate change for these communities.","author":[{"dropping-particle":"","family":"Proud","given":"R.","non-dropping-particle":"","parse-names":false,"suffix":""},{"dropping-particle":"","family":"Cox","given":"M.J.","non-dropping-particle":"","parse-names":false,"suffix":""},{"dropping-particle":"","family":"Guen","given":"C.","non-dropping-particle":"Le","parse-names":false,"suffix":""},{"dropping-particle":"","family":"Brierley","given":"A.S.","non-dropping-particle":"","parse-names":false,"suffix":""}],"container-title":"Marine Ecology Progress Series","id":"ITEM-1","issued":{"date-parts":[["2018","6","28"]]},"page":"35-48","title":"Fine-scale depth structure of pelagic communities throughout the global ocean based on acoustic sound scattering layers","type":"article-journal","volume":"598"},"uris":["http://www.mendeley.com/documents/?uuid=5a273cd3-6fe5-4fd2-9ae2-def10f87343e"]}],"mendeley":{"formattedCitation":"(Proud, Cox, Le Guen, et al. 2018)","plainTextFormattedCitation":"(Proud, Cox, Le Guen, et al. 2018)","previouslyFormattedCitation":"(Proud, Cox, Le Guen, et al. 2018)"},"properties":{"noteIndex":0},"schema":"https://github.com/citation-style-language/schema/raw/master/csl-citation.json"}</w:instrText>
      </w:r>
      <w:r w:rsidR="003D2F7D">
        <w:fldChar w:fldCharType="separate"/>
      </w:r>
      <w:r w:rsidR="002D710F" w:rsidRPr="002D710F">
        <w:rPr>
          <w:noProof/>
        </w:rPr>
        <w:t>(Proud, Cox, Le Guen, et al. 2018)</w:t>
      </w:r>
      <w:r w:rsidR="003D2F7D">
        <w:fldChar w:fldCharType="end"/>
      </w:r>
      <w:r>
        <w:t xml:space="preserve">. DSL stratification is related to the physical properties of the water-column, separating predators from their prey, and into groupings of organisms that preferentially seek distinct or extreme habitats (e.g. hypoxic zones) to increase their survival </w:t>
      </w:r>
      <w:r>
        <w:lastRenderedPageBreak/>
        <w:t xml:space="preserve">probability. Due to their complex nature and form, point observations of DSL depth and vertical arrangement that are often reported in DSL studies are not adequate when investigating the drivers of long-term regional-scale characteristics of DSLs </w:t>
      </w:r>
      <w:r>
        <w:fldChar w:fldCharType="begin" w:fldLock="1"/>
      </w:r>
      <w:r w:rsidR="002D710F">
        <w:instrText>ADDIN CSL_CITATION {"citationItems":[{"id":"ITEM-1","itemData":{"DOI":"10.1016/j.cub.2016.11.003","ISSN":"09609822","abstract":"The global ocean's near surface can be partitioned into distinct provinces on the basis of regional primary productivity and oceanography [1]. This ecological geography provides a valuable framework for understanding spatial variability in ecosystem function but has relevance only partway into the epipelagic zone (the top 200 m). The mesopelagic (200–1,000 m) makes up approximately 20% of the global ocean volume, plays important roles in biogeochemical cycling [2], and holds potentially huge fish resources [3–5]. It is, however, hidden from satellite observation, and a lack of globally consistent data has prevented development of a global-scale understanding. Acoustic deep scattering layers (DSLs) are prominent features of the mesopelagic. These vertically narrow (tens to hundreds of m) but horizontally extensive (continuous for tens to thousands of km) layers comprise fish and zooplankton and are readily detectable using echosounders. We have compiled a database of DSL characteristics globally. We show that DSL depth and acoustic backscattering intensity (a measure of biomass) can be modeled accurately using just surface primary productivity, temperature, and wind stress. Spatial variability in these environmental factors leads to a natural partition of the mesopelagic into ten distinct classes. These classes demark a more complex biogeography than the latitudinally banded schemes proposed before [6, 7]. Knowledge of how environmental factors influence the mesopelagic enables future change to be explored: we predict that by 2100 there will be widespread homogenization of mesopelagic communities and that mesopelagic biomass could increase by approximately 17%. The biomass increase requires increased trophic efficiency, which could arise because of ocean warming and DSL shallowing.","author":[{"dropping-particle":"","family":"Proud","given":"Roland","non-dropping-particle":"","parse-names":false,"suffix":""},{"dropping-particle":"","family":"Cox","given":"Martin J.","non-dropping-particle":"","parse-names":false,"suffix":""},{"dropping-particle":"","family":"Brierley","given":"Andrew S.","non-dropping-particle":"","parse-names":false,"suffix":""}],"container-title":"Current Biology","id":"ITEM-1","issue":"1","issued":{"date-parts":[["2017","1"]]},"page":"113-119","publisher":"Elsevier Ltd.","title":"Biogeography of the Global Ocean’s Mesopelagic Zone","type":"article-journal","volume":"27"},"uris":["http://www.mendeley.com/documents/?uuid=f18c21b3-1980-46ab-8070-53c6fc36af2d"]}],"mendeley":{"formattedCitation":"(Proud et al. 2017)","plainTextFormattedCitation":"(Proud et al. 2017)","previouslyFormattedCitation":"(Proud et al. 2017)"},"properties":{"noteIndex":0},"schema":"https://github.com/citation-style-language/schema/raw/master/csl-citation.json"}</w:instrText>
      </w:r>
      <w:r>
        <w:fldChar w:fldCharType="separate"/>
      </w:r>
      <w:r w:rsidR="002D710F" w:rsidRPr="002D710F">
        <w:rPr>
          <w:noProof/>
        </w:rPr>
        <w:t>(Proud et al. 2017)</w:t>
      </w:r>
      <w:r>
        <w:fldChar w:fldCharType="end"/>
      </w:r>
      <w:r w:rsidRPr="005B070A">
        <w:rPr>
          <w:rStyle w:val="BodyTextChar"/>
        </w:rPr>
        <w:t>.</w:t>
      </w:r>
    </w:p>
    <w:p w14:paraId="685C6C97" w14:textId="7EB49E4F" w:rsidR="0077700B" w:rsidRDefault="003663E0" w:rsidP="003663E0">
      <w:pPr>
        <w:pStyle w:val="Heading2"/>
      </w:pPr>
      <w:bookmarkStart w:id="9" w:name="_Toc2505286"/>
      <w:r>
        <w:t>Partitioning the ocean</w:t>
      </w:r>
      <w:bookmarkEnd w:id="9"/>
    </w:p>
    <w:p w14:paraId="1291F874" w14:textId="7F5724D5" w:rsidR="000B3E96" w:rsidRDefault="00543B3E" w:rsidP="005B070A">
      <w:r>
        <w:t>The amount of net p</w:t>
      </w:r>
      <w:r w:rsidR="003663E0">
        <w:t>rimary production (PP) at the ocean’s surface drives</w:t>
      </w:r>
      <w:r>
        <w:t>, in part,</w:t>
      </w:r>
      <w:r w:rsidR="003663E0">
        <w:t xml:space="preserve"> </w:t>
      </w:r>
      <w:r>
        <w:t>total mesopelagic biomass</w:t>
      </w:r>
      <w:r w:rsidR="003663E0">
        <w:t xml:space="preserve"> (Proud et al., 2017). PP</w:t>
      </w:r>
      <w:r w:rsidR="000B3E96">
        <w:t xml:space="preserve"> varies widely both geographically and over time </w:t>
      </w:r>
      <w:r w:rsidR="000B3E96">
        <w:fldChar w:fldCharType="begin" w:fldLock="1"/>
      </w:r>
      <w:r w:rsidR="002D710F">
        <w:instrText>ADDIN CSL_CITATION {"citationItems":[{"id":"ITEM-1","itemData":{"DOI":"10.1038/nature09268","ISBN":"1476-4687 (Electronic)\\r0028-0836 (Linking)","ISSN":"1476-4687","PMID":"20671703","abstract":"In the oceans, ubiquitous microscopic phototrophs (phytoplankton) account for approximately half the production of organic matter on Earth. Analyses of satellite-derived phytoplankton concentration (available since 1979) have suggested decadal-scale fluctuations linked to climate forcing, but the length of this record is insufficient to resolve longer-term trends. Here we combine available ocean transparency measurements and in situ chlorophyll observations to estimate the time dependence of phytoplankton biomass at local, regional and global scales since 1899. We observe declines in eight out of ten ocean regions, and estimate a global rate of decline of approximately 1% of the global median per year. Our analyses further reveal interannual to decadal phytoplankton fluctuations superimposed on long-term trends. These fluctuations are strongly correlated with basin-scale climate indices, whereas long-term declining trends are related to increasing sea surface temperatures. We conclude that global phytoplankton concentration has declined over the past century; this decline will need to be considered in future studies of marine ecosystems, geochemical cycling, ocean circulation and fisheries.","author":[{"dropping-particle":"","family":"Boyce","given":"Daniel G","non-dropping-particle":"","parse-names":false,"suffix":""},{"dropping-particle":"","family":"Lewis","given":"Marlon R","non-dropping-particle":"","parse-names":false,"suffix":""},{"dropping-particle":"","family":"Worm","given":"Boris","non-dropping-particle":"","parse-names":false,"suffix":""}],"container-title":"Nature","id":"ITEM-1","issue":"7306","issued":{"date-parts":[["2010"]]},"page":"591-596","publisher":"Nature Publishing Group","title":"Global phytoplankton decline over the past century.","type":"article-journal","volume":"466"},"uris":["http://www.mendeley.com/documents/?uuid=70168b21-a175-445a-b540-1196a5a957ac"]},{"id":"ITEM-2","itemData":{"DOI":"10.4319/lom.2012.10.840","ISBN":"1541-5856","ISSN":"15415856","abstract":"Understanding large-scale phytoplankton dynamics requires accurate, multi-decadal measurements of abundance and distribution. Since 1890, marine phytoplankton abundance has been assessed using a diverse range of sensors and observational platforms, and inter-calibrating these data have been challenging. Consequently, syntheses of historical phytoplankton data have been rarely attempted, and the need for accurate,long-term assessments of phytoplankton abundance and distribution is commonly acknowledged. Here, we derive quantitative indices of phytoplankton abundance from measurements of upper ocean transparency and color-calibrated with direct measurements of surface chlorophyll. The strong correlation and linear scaling of the predicted data enabled the construction of a comprehensive, globally intercalibrated chlorophyll time series from 1890 to 2010. The calibrated chlorophyll data reproduced the well established spatial features of phytoplankton surface biomass and were strongly correlated with chlorophyll concentration derived from two independent remote sensing platforms discontinuously available since 1978. These results suggest that with careful statistical treatment it is possible to generate a globally integrated chlorophyll time series extending 120 years into the past. This database, which is available in the web appendices of this paper, may enable new insights in the areas of climate science, biogeochemical cycling, and marine ecosystem structure and functioning over the past century.","author":[{"dropping-particle":"","family":"Boyce","given":"Daniel G.","non-dropping-particle":"","parse-names":false,"suffix":""},{"dropping-particle":"","family":"Lewis","given":"Marlon R","non-dropping-particle":"","parse-names":false,"suffix":""},{"dropping-particle":"","family":"Worm","given":"Boris","non-dropping-particle":"","parse-names":false,"suffix":""}],"container-title":"Limnology and Oceanography: Methods","id":"ITEM-2","issue":"11","issued":{"date-parts":[["2012"]]},"page":"840-852","title":"Integrating global chlorophyll data from 1890 to 2010","type":"article-journal","volume":"10"},"uris":["http://www.mendeley.com/documents/?uuid=b23a8cc3-7071-4dd1-b436-a458925d839d"]}],"mendeley":{"formattedCitation":"(Boyce et al. 2010, 2012)","plainTextFormattedCitation":"(Boyce et al. 2010, 2012)","previouslyFormattedCitation":"(Boyce et al. 2010, 2012)"},"properties":{"noteIndex":0},"schema":"https://github.com/citation-style-language/schema/raw/master/csl-citation.json"}</w:instrText>
      </w:r>
      <w:r w:rsidR="000B3E96">
        <w:fldChar w:fldCharType="separate"/>
      </w:r>
      <w:r w:rsidR="002D710F" w:rsidRPr="002D710F">
        <w:rPr>
          <w:noProof/>
        </w:rPr>
        <w:t>(Boyce et al. 2010, 2012)</w:t>
      </w:r>
      <w:r w:rsidR="000B3E96">
        <w:fldChar w:fldCharType="end"/>
      </w:r>
      <w:r w:rsidR="000B3E96">
        <w:t xml:space="preserve">. Variation in PP gives cause for global partitioning of the ocean into ecological regions, such as those derived by Longhurst </w:t>
      </w:r>
      <w:r w:rsidR="000B3E96">
        <w:fldChar w:fldCharType="begin" w:fldLock="1"/>
      </w:r>
      <w:r w:rsidR="002D710F">
        <w:instrText>ADDIN CSL_CITATION {"citationItems":[{"id":"ITEM-1","itemData":{"DOI":"10.1016/B978-012455521-1/50012-7","ISBN":"9780124555211","ISSN":"0096-3941","PMID":"25246403","author":[{"dropping-particle":"","family":"Longhurst","given":"Alan R.","non-dropping-particle":"","parse-names":false,"suffix":""}],"container-title":"Ecological Geography of the Sea","edition":"Second Edi","id":"ITEM-1","issued":{"date-parts":[["2007"]]},"publisher":"Academic Press","publisher-place":"San Diego","title":"Ecological Geography of the Sea","type":"book"},"uris":["http://www.mendeley.com/documents/?uuid=0ff7cace-4669-42fd-a986-fd9e4505cd14"]}],"mendeley":{"formattedCitation":"(Longhurst 2007)","plainTextFormattedCitation":"(Longhurst 2007)","previouslyFormattedCitation":"(Longhurst 2007)"},"properties":{"noteIndex":0},"schema":"https://github.com/citation-style-language/schema/raw/master/csl-citation.json"}</w:instrText>
      </w:r>
      <w:r w:rsidR="000B3E96">
        <w:fldChar w:fldCharType="separate"/>
      </w:r>
      <w:r w:rsidR="002D710F" w:rsidRPr="002D710F">
        <w:rPr>
          <w:noProof/>
        </w:rPr>
        <w:t>(Longhurst 2007)</w:t>
      </w:r>
      <w:r w:rsidR="000B3E96">
        <w:fldChar w:fldCharType="end"/>
      </w:r>
      <w:r w:rsidR="000B3E96">
        <w:t>. Both surface and deeper communities are limited by PP, which is a function of light intensity, temperature and nutrient availability (via mixing), therefore, where major changes in these properties occur, such as at oceanic fronts, PP regime shifts are often observed.</w:t>
      </w:r>
      <w:r w:rsidR="003663E0">
        <w:t xml:space="preserve"> </w:t>
      </w:r>
      <w:r w:rsidR="000B3E96">
        <w:t xml:space="preserve">In the open-ocean, away from continental shelves, water masses meet at oceanic fronts that physically partition the ocean; at smaller scales, eddies and filaments act in the same way. Frontal regions are often associated with relatively high levels of production </w:t>
      </w:r>
      <w:r w:rsidR="000B3E96">
        <w:fldChar w:fldCharType="begin" w:fldLock="1"/>
      </w:r>
      <w:r w:rsidR="002D710F">
        <w:instrText>ADDIN CSL_CITATION {"citationItems":[{"id":"ITEM-1","itemData":{"DOI":"10.1007/BF00233138","ISSN":"0722-4060","author":[{"dropping-particle":"","family":"Laubscher","given":"R.K.","non-dropping-particle":"","parse-names":false,"suffix":""},{"dropping-particle":"","family":"Perissinotto","given":"R.","non-dropping-particle":"","parse-names":false,"suffix":""},{"dropping-particle":"","family":"McQuaid","given":"C.D.","non-dropping-particle":"","parse-names":false,"suffix":""}],"container-title":"Polar Biology","id":"ITEM-1","issue":"7","issued":{"date-parts":[["1993","9"]]},"title":"Phytoplankton production and biomass at frontal zones in the Atlantic sector of the Southern Ocean","type":"article-journal","volume":"13"},"uris":["http://www.mendeley.com/documents/?uuid=1916028f-7ee5-45b9-b83b-f8aebf8f7458"]}],"mendeley":{"formattedCitation":"(Laubscher et al. 1993)","plainTextFormattedCitation":"(Laubscher et al. 1993)","previouslyFormattedCitation":"(Laubscher et al. 1993)"},"properties":{"noteIndex":0},"schema":"https://github.com/citation-style-language/schema/raw/master/csl-citation.json"}</w:instrText>
      </w:r>
      <w:r w:rsidR="000B3E96">
        <w:fldChar w:fldCharType="separate"/>
      </w:r>
      <w:r w:rsidR="002D710F" w:rsidRPr="002D710F">
        <w:rPr>
          <w:noProof/>
        </w:rPr>
        <w:t>(Laubscher et al. 1993)</w:t>
      </w:r>
      <w:r w:rsidR="000B3E96">
        <w:fldChar w:fldCharType="end"/>
      </w:r>
      <w:r w:rsidR="000B3E96">
        <w:t xml:space="preserve">, usually a result of complimentary water mass mixing where the frontal habitat, sometimes known as an ecotone (from Odin, 1971 or Shelford, 1963), gains the compositional advantages of both adjoining water masses (either converging or diverging); an example of this is where nutrient-rich, iron-poor subantarctic water converges with nutrient-poor, iron-rich subtropical waters at the southern subtropical convergence zone. Away from frontal zones, within the ocean gyres, production is characteristically low due to low-levels of nutrients </w:t>
      </w:r>
      <w:r w:rsidR="000B3E96">
        <w:fldChar w:fldCharType="begin" w:fldLock="1"/>
      </w:r>
      <w:r w:rsidR="002D710F">
        <w:instrText>ADDIN CSL_CITATION {"citationItems":[{"id":"ITEM-1","itemData":{"DOI":"10.1126/science.281.5374.237","ISBN":"00368075","ISSN":"1095-9203","PMID":"9657713","abstract":"Integrating conceptually similar models of the growth of marine and terrestrial primary producers yielded an estimated global net primary production (NPP) of 104.9 petagrams of carbon per year, with roughly equal contributions from land and oceans. Approaches based on satellite indices of absorbed solar radiation indicate marked heterogeneity in NPP for both land and oceans, reflecting the influence of physical and ecological processes. The spatial and temporal distributions of ocean NPP are consistent with primary limitation by light, nutrients, and temperature. On land, water limitation imposes additional constraints. On land and ocean, progressive changes in NPP can result in altered carbon storage, although contrasts in mechanisms of carbon storage and rates of organic matter turnover result in a range of relations between carbon storage and changes in NPP.","author":[{"dropping-particle":"","family":"Field","given":"C. B.","non-dropping-particle":"","parse-names":false,"suffix":""}],"container-title":"Science","id":"ITEM-1","issue":"5374","issued":{"date-parts":[["1998"]]},"page":"237-240","title":"Primary Production of the Biosphere: Integrating Terrestrial and Oceanic Components","type":"article-journal","volume":"281"},"uris":["http://www.mendeley.com/documents/?uuid=5debb1cb-333a-4c11-adc5-7eaa62641027"]}],"mendeley":{"formattedCitation":"(Field 1998)","plainTextFormattedCitation":"(Field 1998)","previouslyFormattedCitation":"(Field 1998)"},"properties":{"noteIndex":0},"schema":"https://github.com/citation-style-language/schema/raw/master/csl-citation.json"}</w:instrText>
      </w:r>
      <w:r w:rsidR="000B3E96">
        <w:fldChar w:fldCharType="separate"/>
      </w:r>
      <w:r w:rsidR="002D710F" w:rsidRPr="002D710F">
        <w:rPr>
          <w:noProof/>
        </w:rPr>
        <w:t>(Field 1998)</w:t>
      </w:r>
      <w:r w:rsidR="000B3E96">
        <w:fldChar w:fldCharType="end"/>
      </w:r>
      <w:r w:rsidR="000B3E96">
        <w:t xml:space="preserve">. Towards the poles, light, seasonal ice conditions, temperature and iron content mediate production </w:t>
      </w:r>
      <w:r w:rsidR="000B3E96">
        <w:fldChar w:fldCharType="begin" w:fldLock="1"/>
      </w:r>
      <w:r w:rsidR="002D710F">
        <w:instrText>ADDIN CSL_CITATION {"citationItems":[{"id":"ITEM-1","itemData":{"DOI":"10.1038/35037500","ISBN":"0028-0836","ISSN":"0028-0836","PMID":"11048709","abstract":"Changes in iron supply to oceanic plankton are thought to have a significant effect on concentrations of atmospheric carbon dioxide by altering rates of carbon sequestration, a theory known as the 'iron hypothesis'. For this reason, it is important to understand the response of pelagic biota to increased iron supply. Here we report the results of a mesoscale iron fertilization experiment in the polar Southern Ocean, where the potential to sequester iron-elevated algal carbon is probably greatest. Increased iron supply led to elevated phytoplankton biomass and rates of photosynthesis in surface waters, causing a large drawdown of carbon dioxide and macronutrients, and elevated dimethyl sulphide levels after 13 days. This drawdown was mostly due to the proliferation of diatom stocks. But downward export of biogenic carbon was not increased. Moreover, satellite observations of this massive bloom 30 days later, suggest that a sufficient proportion of the added iron was retained in surface waters. Our findings demonstrate that iron supply controls phytoplankton growth and community composition during summer in these polar Southern Ocean waters, but the fate of algal carbon remains unknown and depends on the interplay between the processes controlling export, remineralisation and timescales of water mass subduction.","author":[{"dropping-particle":"","family":"Boyd","given":"P W","non-dropping-particle":"","parse-names":false,"suffix":""},{"dropping-particle":"","family":"Watson","given":"A J","non-dropping-particle":"","parse-names":false,"suffix":""},{"dropping-particle":"","family":"Law","given":"C S","non-dropping-particle":"","parse-names":false,"suffix":""},{"dropping-particle":"","family":"Abraham","given":"E R","non-dropping-particle":"","parse-names":false,"suffix":""},{"dropping-particle":"","family":"Trull","given":"T","non-dropping-particle":"","parse-names":false,"suffix":""},{"dropping-particle":"","family":"Murdoch","given":"R","non-dropping-particle":"","parse-names":false,"suffix":""},{"dropping-particle":"","family":"Bakker","given":"D C","non-dropping-particle":"","parse-names":false,"suffix":""},{"dropping-particle":"","family":"Bowie","given":"a R","non-dropping-particle":"","parse-names":false,"suffix":""},{"dropping-particle":"","family":"Buesseler","given":"K O","non-dropping-particle":"","parse-names":false,"suffix":""},{"dropping-particle":"","family":"Chang","given":"H","non-dropping-particle":"","parse-names":false,"suffix":""},{"dropping-particle":"","family":"Charette","given":"M","non-dropping-particle":"","parse-names":false,"suffix":""},{"dropping-particle":"","family":"Croot","given":"P","non-dropping-particle":"","parse-names":false,"suffix":""},{"dropping-particle":"","family":"Downing","given":"K","non-dropping-particle":"","parse-names":false,"suffix":""},{"dropping-particle":"","family":"Frew","given":"R","non-dropping-particle":"","parse-names":false,"suffix":""},{"dropping-particle":"","family":"Gall","given":"M","non-dropping-particle":"","parse-names":false,"suffix":""},{"dropping-particle":"","family":"Hadfield","given":"M","non-dropping-particle":"","parse-names":false,"suffix":""},{"dropping-particle":"","family":"Hall","given":"J","non-dropping-particle":"","parse-names":false,"suffix":""},{"dropping-particle":"","family":"Harvey","given":"M","non-dropping-particle":"","parse-names":false,"suffix":""},{"dropping-particle":"","family":"Jameson","given":"G","non-dropping-particle":"","parse-names":false,"suffix":""},{"dropping-particle":"","family":"LaRoche","given":"J","non-dropping-particle":"","parse-names":false,"suffix":""},{"dropping-particle":"","family":"Liddicoat","given":"M","non-dropping-particle":"","parse-names":false,"suffix":""},{"dropping-particle":"","family":"Ling","given":"R","non-dropping-particle":"","parse-names":false,"suffix":""},{"dropping-particle":"","family":"Maldonado","given":"M T","non-dropping-particle":"","parse-names":false,"suffix":""},{"dropping-particle":"","family":"McKay","given":"R M","non-dropping-particle":"","parse-names":false,"suffix":""},{"dropping-particle":"","family":"Nodder","given":"S","non-dropping-particle":"","parse-names":false,"suffix":""},{"dropping-particle":"","family":"Pickmere","given":"S","non-dropping-particle":"","parse-names":false,"suffix":""},{"dropping-particle":"","family":"Pridmore","given":"R","non-dropping-particle":"","parse-names":false,"suffix":""},{"dropping-particle":"","family":"Rintoul","given":"S","non-dropping-particle":"","parse-names":false,"suffix":""},{"dropping-particle":"","family":"Safi","given":"K","non-dropping-particle":"","parse-names":false,"suffix":""},{"dropping-particle":"","family":"Sutton","given":"P","non-dropping-particle":"","parse-names":false,"suffix":""},{"dropping-particle":"","family":"Strzepek","given":"R","non-dropping-particle":"","parse-names":false,"suffix":""},{"dropping-particle":"","family":"Tanneberger","given":"K","non-dropping-particle":"","parse-names":false,"suffix":""},{"dropping-particle":"","family":"Turner","given":"S","non-dropping-particle":"","parse-names":false,"suffix":""},{"dropping-particle":"","family":"Waite","given":"A","non-dropping-particle":"","parse-names":false,"suffix":""},{"dropping-particle":"","family":"Zeldis","given":"J","non-dropping-particle":"","parse-names":false,"suffix":""}],"container-title":"Nature","id":"ITEM-1","issue":"6805","issued":{"date-parts":[["2000"]]},"page":"695-702","title":"A mesoscale phytoplankton bloom in the polar Southern Ocean stimulated by iron fertilization","type":"article-journal","volume":"407"},"uris":["http://www.mendeley.com/documents/?uuid=ed031b9b-b2ca-4613-a733-6313db79da7c"]},{"id":"ITEM-2","itemData":{"DOI":"10.1029/2008GL035028","ISBN":"0094-8276","ISSN":"00948276","abstract":"Loss of Arctic sea ice has accelerated recently, culminating in a 2007 summer minimum ice extent that was 23% below the previous low. To quantify the impact of this unprecedented loss of ice on marine primary production, we have coupled satellite-derived sea ice, SST, and chlorophyll to a primary production algorithm parameterized for Arctic waters. Annual primary production in the Arctic has increased yearly by an average of 27.5 Tg C yr(-1) since 2003 and by 35 Tg C yr(-1) between 2006 and 2007. 30% of this increase is attributable to decreased minimum summer ice extent and 70% to a longer phytoplankton growing season. Should these trends continue, additional loss of ice during Arctic spring could boost productivity &gt;3-fold above 1998-2002 levels, potentially altering marine ecosystem structure and the degree of pelagic-benthic coupling. Changes in carbon export could in turn modify benthic denitrification on the vast continental shelves.","author":[{"dropping-particle":"","family":"Arrigo","given":"Kevin R.","non-dropping-particle":"","parse-names":false,"suffix":""},{"dropping-particle":"","family":"Dijken","given":"Gert","non-dropping-particle":"van","parse-names":false,"suffix":""},{"dropping-particle":"","family":"Pabi","given":"Sudeshna","non-dropping-particle":"","parse-names":false,"suffix":""}],"container-title":"Geophysical Research Letters","id":"ITEM-2","issue":"19","issued":{"date-parts":[["2008"]]},"title":"Impact of a shrinking Arctic ice cover on marine primary production","type":"article-journal","volume":"35"},"uris":["http://www.mendeley.com/documents/?uuid=99b93d09-3be3-43db-823e-77e161c0d36e"]}],"mendeley":{"formattedCitation":"(Boyd et al. 2000, Arrigo et al. 2008)","plainTextFormattedCitation":"(Boyd et al. 2000, Arrigo et al. 2008)","previouslyFormattedCitation":"(Boyd et al. 2000, Arrigo et al. 2008)"},"properties":{"noteIndex":0},"schema":"https://github.com/citation-style-language/schema/raw/master/csl-citation.json"}</w:instrText>
      </w:r>
      <w:r w:rsidR="000B3E96">
        <w:fldChar w:fldCharType="separate"/>
      </w:r>
      <w:r w:rsidR="002D710F" w:rsidRPr="002D710F">
        <w:rPr>
          <w:noProof/>
        </w:rPr>
        <w:t>(Boyd et al. 2000, Arrigo et al. 2008)</w:t>
      </w:r>
      <w:r w:rsidR="000B3E96">
        <w:fldChar w:fldCharType="end"/>
      </w:r>
      <w:r w:rsidR="000B3E96">
        <w:t xml:space="preserve">. During the dark winter months, polar open-ocean production is minimal and </w:t>
      </w:r>
      <w:r>
        <w:t xml:space="preserve">some </w:t>
      </w:r>
      <w:r w:rsidR="000B3E96">
        <w:t xml:space="preserve">organisms take refuge either through seasonal migrations to the deep ocean (diapause: e.g. copepods, </w:t>
      </w:r>
      <w:r w:rsidR="000B3E96">
        <w:fldChar w:fldCharType="begin" w:fldLock="1"/>
      </w:r>
      <w:r w:rsidR="002D710F">
        <w:instrText>ADDIN CSL_CITATION {"citationItems":[{"id":"ITEM-1","itemData":{"DOI":"10.1080/00785326.1995.10429843","ISBN":"0078-5326","ISSN":"0078-5326","abstract":"Overwintering strategy plays a key role in the life cycle of Calanus finmarchicus. This species has developed adaptations such as arrested development, ontogenetic vertical migration and reduced metabolism in late developmental stages in order to survive long periods of food shortage, typical of temperate and high latitudes. At the same time preparations for the reproductive period are an integral part of its overwintering physiology. Terms such as resting phase or stage, dormancy, quiescence, hibernation and diapause are frequently encountered in descriptions of the overwintering conditions, but have not been defined. As many aspects of insect diapause are also found in the overwintering physiology of C. finmarchicus, an attempt was made to classify patterns of overwintering physiology according to insect diapause phases. A short comparison was also made with the diapause of freshwater cyclopoids. Although, with the knowledge available, it is difficult in some cases correspondence in the sequence of physiological changes suggest equivalence of insect and cyclopoid diapause and the physiology of the overwintering stages of Calanus finmarchicus.","author":[{"dropping-particle":"","family":"Hirche","given":"H J","non-dropping-particle":"","parse-names":false,"suffix":""}],"container-title":"Ophelia","id":"ITEM-1","issue":"1-3","issued":{"date-parts":[["1996"]]},"page":"129-143","title":"Diapause in the marine copepod, Calanus finmarchicus - A review","type":"article-journal","volume":"44"},"uris":["http://www.mendeley.com/documents/?uuid=2abe5c5c-d773-4f93-b18a-10cd964e69b2"]}],"mendeley":{"formattedCitation":"(Hirche 1996)","manualFormatting":"Hirche 1996)","plainTextFormattedCitation":"(Hirche 1996)","previouslyFormattedCitation":"(Hirche 1996)"},"properties":{"noteIndex":0},"schema":"https://github.com/citation-style-language/schema/raw/master/csl-citation.json"}</w:instrText>
      </w:r>
      <w:r w:rsidR="000B3E96">
        <w:fldChar w:fldCharType="separate"/>
      </w:r>
      <w:r w:rsidR="000B3E96" w:rsidRPr="00DE6BF7">
        <w:rPr>
          <w:noProof/>
        </w:rPr>
        <w:t>Hirche 1996)</w:t>
      </w:r>
      <w:r w:rsidR="000B3E96">
        <w:fldChar w:fldCharType="end"/>
      </w:r>
      <w:r w:rsidR="000B3E96">
        <w:t xml:space="preserve"> or by sheltering under the ice, feeding on algae, extracted from brine channels (e.g. juvenile Antarctic krill, </w:t>
      </w:r>
      <w:r w:rsidR="000B3E96">
        <w:fldChar w:fldCharType="begin" w:fldLock="1"/>
      </w:r>
      <w:r w:rsidR="002D710F">
        <w:instrText>ADDIN CSL_CITATION {"citationItems":[{"id":"ITEM-1","itemData":{"DOI":"10.1641/0006-3568(2006)056[0111:KCASIE]2.0.CO;2","ISBN":"00063568","ISSN":"0006-3568","abstract":"Investigations of Antarctic krill (Euphausia superba) over the last 40 years have examined almost every aspect of the biology of these ecologically important animals.Various elements of krill biology have been brought together to provide concepts of how this species interacts with its environment, but there have been few recent attempts to generate a generalized conceptual model of its life history. In this article I present such a model, based on previous descriptions, observations, and recent data from the scientific literature. This model takes into account a range of findings on krill biology and on the relationships between Antarctic krill and its biotic and abiotic environment. Krill life history is thus viewed as an evolved product of interactions between the species and its environment. The model places particular emphasis on the different forces that act on the larval and adult stages, and on the interaction between krill behavior, systems of ocean currents, and sea ice.","author":[{"dropping-particle":"","family":"Nicol","given":"Stephen","non-dropping-particle":"","parse-names":false,"suffix":""}],"container-title":"BioScience","id":"ITEM-1","issue":"2","issued":{"date-parts":[["2006"]]},"page":"111","title":"Krill, Currents, and Sea Ice: Euphausia superba and Its Changing Environment","type":"article-journal","volume":"56"},"uris":["http://www.mendeley.com/documents/?uuid=11d40c98-7d2f-4670-9ca7-dac3c6d06d1d"]}],"mendeley":{"formattedCitation":"(Nicol 2006)","manualFormatting":"Nicol 2006)","plainTextFormattedCitation":"(Nicol 2006)","previouslyFormattedCitation":"(Nicol 2006)"},"properties":{"noteIndex":0},"schema":"https://github.com/citation-style-language/schema/raw/master/csl-citation.json"}</w:instrText>
      </w:r>
      <w:r w:rsidR="000B3E96">
        <w:fldChar w:fldCharType="separate"/>
      </w:r>
      <w:r w:rsidR="000B3E96" w:rsidRPr="00DE6BF7">
        <w:rPr>
          <w:noProof/>
        </w:rPr>
        <w:t>Nicol 2006)</w:t>
      </w:r>
      <w:r w:rsidR="000B3E96">
        <w:fldChar w:fldCharType="end"/>
      </w:r>
      <w:r w:rsidR="000B3E96">
        <w:t xml:space="preserve">.  </w:t>
      </w:r>
    </w:p>
    <w:p w14:paraId="1243C2F4" w14:textId="37A5E326" w:rsidR="006A5506" w:rsidRDefault="006A5506" w:rsidP="006A5506">
      <w:pPr>
        <w:pStyle w:val="Heading2"/>
      </w:pPr>
      <w:bookmarkStart w:id="10" w:name="_Toc489026523"/>
      <w:bookmarkStart w:id="11" w:name="_Toc2505287"/>
      <w:r>
        <w:t>This report</w:t>
      </w:r>
      <w:bookmarkEnd w:id="10"/>
      <w:bookmarkEnd w:id="11"/>
    </w:p>
    <w:p w14:paraId="73F94A61" w14:textId="31CA8011" w:rsidR="0045648E" w:rsidRDefault="003B6CDE" w:rsidP="005B070A">
      <w:r>
        <w:t xml:space="preserve">In this report </w:t>
      </w:r>
      <w:r w:rsidR="00611B60">
        <w:t xml:space="preserve">we derive mesopelagic fish habitats based on predicted variability in </w:t>
      </w:r>
      <w:r w:rsidR="00441AC8">
        <w:t xml:space="preserve">Southern Ocean </w:t>
      </w:r>
      <w:r w:rsidR="00611B60">
        <w:t xml:space="preserve">DSL echo intensity (a proxy for biomass). </w:t>
      </w:r>
      <w:r w:rsidR="00441AC8">
        <w:t>Therefore, these habitats do not represent changes in species diversity, rather</w:t>
      </w:r>
      <w:r w:rsidR="00543B3E">
        <w:t>,</w:t>
      </w:r>
      <w:r w:rsidR="00441AC8">
        <w:t xml:space="preserve"> in the mechanism</w:t>
      </w:r>
      <w:r w:rsidR="00543B3E">
        <w:t>s</w:t>
      </w:r>
      <w:r w:rsidR="00441AC8">
        <w:t xml:space="preserve"> </w:t>
      </w:r>
      <w:r w:rsidR="00543B3E">
        <w:t>that drive biomass</w:t>
      </w:r>
      <w:r w:rsidR="00441AC8">
        <w:t>. W</w:t>
      </w:r>
      <w:r>
        <w:t>e assume that mesopelagic fish produce the majority of DSL backscatter</w:t>
      </w:r>
      <w:r w:rsidR="00831E48">
        <w:t xml:space="preserve"> (at 38 kHz)</w:t>
      </w:r>
      <w:r>
        <w:t xml:space="preserve"> in the Southern Ocean and use the </w:t>
      </w:r>
      <w:r w:rsidR="00441AC8">
        <w:t>method developed</w:t>
      </w:r>
      <w:r>
        <w:t xml:space="preserve"> by Proud et al. (2017) to partition the </w:t>
      </w:r>
      <w:r w:rsidR="00A94579">
        <w:t>Southern Ocean</w:t>
      </w:r>
      <w:r>
        <w:t xml:space="preserve"> into mesopelagic fish habitats across various spatial scales. This was carried out by </w:t>
      </w:r>
      <w:proofErr w:type="spellStart"/>
      <w:r>
        <w:t>i</w:t>
      </w:r>
      <w:proofErr w:type="spellEnd"/>
      <w:r>
        <w:t xml:space="preserve">) evaluation of Proud et al. (2017) global mesopelagic biogeography in the context of the Southern Ocean; </w:t>
      </w:r>
      <w:r w:rsidR="00A94579">
        <w:t>ii</w:t>
      </w:r>
      <w:r>
        <w:t xml:space="preserve">.) definition of the extent of the Southern Ocean </w:t>
      </w:r>
      <w:r w:rsidR="00A94579">
        <w:t>habitat</w:t>
      </w:r>
      <w:r w:rsidR="0045648E">
        <w:t>, and</w:t>
      </w:r>
      <w:r>
        <w:t xml:space="preserve"> </w:t>
      </w:r>
      <w:r w:rsidR="00A94579">
        <w:t>iii</w:t>
      </w:r>
      <w:r>
        <w:t xml:space="preserve">.) </w:t>
      </w:r>
      <w:r w:rsidR="00611B60">
        <w:t>application</w:t>
      </w:r>
      <w:r w:rsidR="00A94579">
        <w:t xml:space="preserve"> of </w:t>
      </w:r>
      <w:r w:rsidR="00441AC8">
        <w:t xml:space="preserve">Proud et al. (2017) </w:t>
      </w:r>
      <w:r w:rsidR="00A94579">
        <w:t xml:space="preserve">method to partition the Southern Ocean into </w:t>
      </w:r>
      <w:r w:rsidR="0045648E">
        <w:t xml:space="preserve">mesopelagic fish </w:t>
      </w:r>
      <w:r w:rsidR="00441AC8">
        <w:t>habitats</w:t>
      </w:r>
      <w:r w:rsidR="0045648E">
        <w:t>.</w:t>
      </w:r>
      <w:r w:rsidR="00A94579">
        <w:t xml:space="preserve"> </w:t>
      </w:r>
    </w:p>
    <w:p w14:paraId="370626DC" w14:textId="3DF77F9C" w:rsidR="003663E0" w:rsidRDefault="003663E0" w:rsidP="005B070A"/>
    <w:p w14:paraId="5AE75185" w14:textId="050746CC" w:rsidR="003663E0" w:rsidRDefault="003663E0" w:rsidP="005B070A"/>
    <w:p w14:paraId="0333A08F" w14:textId="11677109" w:rsidR="003663E0" w:rsidRDefault="003663E0" w:rsidP="005B070A"/>
    <w:p w14:paraId="644B2943" w14:textId="77777777" w:rsidR="003663E0" w:rsidRPr="005B070A" w:rsidRDefault="003663E0" w:rsidP="005B070A"/>
    <w:p w14:paraId="18A2B333" w14:textId="7E020D0F" w:rsidR="00D7758E" w:rsidRDefault="00D7758E" w:rsidP="00D7758E">
      <w:pPr>
        <w:pStyle w:val="Heading1"/>
      </w:pPr>
      <w:bookmarkStart w:id="12" w:name="_Toc489026525"/>
      <w:bookmarkStart w:id="13" w:name="_Toc2505288"/>
      <w:r>
        <w:lastRenderedPageBreak/>
        <w:t>Mesopelagic biogeography of the Southern Ocean</w:t>
      </w:r>
      <w:bookmarkEnd w:id="13"/>
    </w:p>
    <w:p w14:paraId="2F16D49F" w14:textId="1A8F2C41" w:rsidR="00A94579" w:rsidRPr="00A94579" w:rsidRDefault="000C0D52" w:rsidP="00A94579">
      <w:r>
        <w:t xml:space="preserve">Proud et al. (2017) described a global </w:t>
      </w:r>
      <w:r w:rsidR="00853085">
        <w:t>biogeography</w:t>
      </w:r>
      <w:r>
        <w:t xml:space="preserve"> of the mes</w:t>
      </w:r>
      <w:r w:rsidR="00853085">
        <w:t xml:space="preserve">opelagic community based on the depth and echo </w:t>
      </w:r>
      <w:r w:rsidR="006A5887">
        <w:t>intensity</w:t>
      </w:r>
      <w:r w:rsidR="00611B60">
        <w:t xml:space="preserve"> (a proxy for biomass)</w:t>
      </w:r>
      <w:r w:rsidR="00853085">
        <w:t xml:space="preserve"> </w:t>
      </w:r>
      <w:r w:rsidR="006A5887">
        <w:t>of</w:t>
      </w:r>
      <w:r w:rsidR="00853085">
        <w:t xml:space="preserve"> deep scattering layers (DSLs)</w:t>
      </w:r>
      <w:r w:rsidR="0062304A">
        <w:t xml:space="preserve">. </w:t>
      </w:r>
      <w:r w:rsidR="00853085">
        <w:t xml:space="preserve">They found that </w:t>
      </w:r>
      <w:r w:rsidR="00611B60">
        <w:t xml:space="preserve">net </w:t>
      </w:r>
      <w:r w:rsidR="00853085">
        <w:t>primary production</w:t>
      </w:r>
      <w:r w:rsidR="006A5887">
        <w:t xml:space="preserve"> (PP)</w:t>
      </w:r>
      <w:r w:rsidR="00853085">
        <w:t xml:space="preserve"> and </w:t>
      </w:r>
      <w:r w:rsidR="006A5887">
        <w:t>water</w:t>
      </w:r>
      <w:r w:rsidR="00853085">
        <w:t xml:space="preserve"> temperature at the depth of the DSL</w:t>
      </w:r>
      <w:r w:rsidR="006A5887">
        <w:t xml:space="preserve"> (T</w:t>
      </w:r>
      <w:r w:rsidR="006A5887" w:rsidRPr="006A5887">
        <w:rPr>
          <w:vertAlign w:val="subscript"/>
        </w:rPr>
        <w:t>PDSL</w:t>
      </w:r>
      <w:r w:rsidR="006A5887">
        <w:t>)</w:t>
      </w:r>
      <w:r w:rsidR="00853085">
        <w:t xml:space="preserve"> were the main drivers of </w:t>
      </w:r>
      <w:r w:rsidR="00611B60">
        <w:t xml:space="preserve">daytime </w:t>
      </w:r>
      <w:r w:rsidR="00853085">
        <w:t>DSL echo intensity</w:t>
      </w:r>
      <w:r w:rsidR="00441AC8">
        <w:t>, using single frequency 38 kHz echosounder observations</w:t>
      </w:r>
      <w:r w:rsidR="00853085">
        <w:t xml:space="preserve">. </w:t>
      </w:r>
      <w:r w:rsidR="006A5887">
        <w:t>Since</w:t>
      </w:r>
      <w:r w:rsidR="00853085">
        <w:t xml:space="preserve"> </w:t>
      </w:r>
      <w:r w:rsidR="0062304A">
        <w:t>a considerable proportion</w:t>
      </w:r>
      <w:r w:rsidR="00853085">
        <w:t xml:space="preserve"> of </w:t>
      </w:r>
      <w:r w:rsidR="006A5887">
        <w:t>backscatter</w:t>
      </w:r>
      <w:r w:rsidR="00853085">
        <w:t xml:space="preserve"> </w:t>
      </w:r>
      <w:r w:rsidR="00441AC8">
        <w:t xml:space="preserve">at 38 kHz </w:t>
      </w:r>
      <w:r w:rsidR="00853085">
        <w:t>from DSLs is likely to be produced by gas-bladdered fish</w:t>
      </w:r>
      <w:r w:rsidR="0062304A">
        <w:t xml:space="preserve"> </w:t>
      </w:r>
      <w:r w:rsidR="003D2F7D">
        <w:fldChar w:fldCharType="begin" w:fldLock="1"/>
      </w:r>
      <w:r w:rsidR="002D710F">
        <w:instrText>ADDIN CSL_CITATION {"citationItems":[{"id":"ITEM-1","itemData":{"DOI":"10.1093/icesjms/fsy037","ISSN":"1054-3139","author":[{"dropping-particle":"","family":"Proud","given":"Roland","non-dropping-particle":"","parse-names":false,"suffix":""},{"dropping-particle":"","family":"Handegard","given":"Nils Olav","non-dropping-particle":"","parse-names":false,"suffix":""},{"dropping-particle":"","family":"Kloser","given":"Rudy J","non-dropping-particle":"","parse-names":false,"suffix":""},{"dropping-particle":"","family":"Cox","given":"Martin J","non-dropping-particle":"","parse-names":false,"suffix":""},{"dropping-particle":"","family":"Brierley","given":"Andrew S","non-dropping-particle":"","parse-names":false,"suffix":""}],"container-title":"ICES Journal of Marine Science","id":"ITEM-1","issue":"April","issued":{"date-parts":[["2018","4","19"]]},"title":"From siphonophores to deep scattering layers: uncertainty ranges for the estimation of global mesopelagic fish biomass","type":"article-journal"},"uris":["http://www.mendeley.com/documents/?uuid=e8a0fd33-5084-4780-bc38-46edf7bdadc8"]}],"mendeley":{"formattedCitation":"(Proud, Handegard, Kloser, et al. 2018)","plainTextFormattedCitation":"(Proud, Handegard, Kloser, et al. 2018)","previouslyFormattedCitation":"(Proud, Handegard, Kloser, et al. 2018)"},"properties":{"noteIndex":0},"schema":"https://github.com/citation-style-language/schema/raw/master/csl-citation.json"}</w:instrText>
      </w:r>
      <w:r w:rsidR="003D2F7D">
        <w:fldChar w:fldCharType="separate"/>
      </w:r>
      <w:r w:rsidR="002D710F" w:rsidRPr="002D710F">
        <w:rPr>
          <w:noProof/>
        </w:rPr>
        <w:t>(Proud, Handegard, Kloser, et al. 2018)</w:t>
      </w:r>
      <w:r w:rsidR="003D2F7D">
        <w:fldChar w:fldCharType="end"/>
      </w:r>
      <w:r w:rsidR="0062304A">
        <w:t xml:space="preserve"> </w:t>
      </w:r>
      <w:r w:rsidR="00853085">
        <w:t>then</w:t>
      </w:r>
      <w:r w:rsidR="00611B60">
        <w:t xml:space="preserve"> it is a reasonable approximation to use </w:t>
      </w:r>
      <w:r w:rsidR="0062304A">
        <w:t>Proud et al.’s (2017)</w:t>
      </w:r>
      <w:r w:rsidR="00853085">
        <w:t xml:space="preserve"> </w:t>
      </w:r>
      <w:r w:rsidR="003901EC">
        <w:t xml:space="preserve">bioregionalization method </w:t>
      </w:r>
      <w:r w:rsidR="00611B60">
        <w:t>to designate</w:t>
      </w:r>
      <w:r w:rsidR="00441AC8">
        <w:t xml:space="preserve"> biomass-based</w:t>
      </w:r>
      <w:r w:rsidR="00611B60">
        <w:t xml:space="preserve"> mesopelagic fish habitats in the Southern Ocean</w:t>
      </w:r>
      <w:r w:rsidR="00853085">
        <w:t xml:space="preserve">. </w:t>
      </w:r>
    </w:p>
    <w:p w14:paraId="005CD20E" w14:textId="5B1E380B" w:rsidR="004E7898" w:rsidRDefault="00D7758E" w:rsidP="004E7898">
      <w:pPr>
        <w:pStyle w:val="Heading2"/>
      </w:pPr>
      <w:bookmarkStart w:id="14" w:name="_Toc2505289"/>
      <w:r>
        <w:t>Biogeography</w:t>
      </w:r>
      <w:bookmarkEnd w:id="14"/>
    </w:p>
    <w:p w14:paraId="5461C731" w14:textId="6912DEED" w:rsidR="006A5887" w:rsidRDefault="00853085" w:rsidP="00853085">
      <w:r>
        <w:t xml:space="preserve">The global </w:t>
      </w:r>
      <w:r w:rsidR="00441AC8">
        <w:t xml:space="preserve">mesopelagic </w:t>
      </w:r>
      <w:r w:rsidR="006A5887">
        <w:t>biogeography</w:t>
      </w:r>
      <w:r>
        <w:t xml:space="preserve"> described by Proud et al. (2017) was based on </w:t>
      </w:r>
      <w:r w:rsidR="0045648E">
        <w:t>ten</w:t>
      </w:r>
      <w:r>
        <w:t xml:space="preserve"> distinct </w:t>
      </w:r>
      <w:r w:rsidR="00441AC8">
        <w:t xml:space="preserve">biomass </w:t>
      </w:r>
      <w:r>
        <w:t>classes, each with characteristic PP</w:t>
      </w:r>
      <w:r w:rsidR="00D02FB8">
        <w:t xml:space="preserve"> (g C m</w:t>
      </w:r>
      <w:r w:rsidR="00D02FB8" w:rsidRPr="00D02FB8">
        <w:rPr>
          <w:vertAlign w:val="superscript"/>
        </w:rPr>
        <w:t>-2</w:t>
      </w:r>
      <w:r w:rsidR="00D02FB8">
        <w:t xml:space="preserve"> day</w:t>
      </w:r>
      <w:r w:rsidR="00D02FB8" w:rsidRPr="00D02FB8">
        <w:rPr>
          <w:vertAlign w:val="superscript"/>
        </w:rPr>
        <w:t>-1</w:t>
      </w:r>
      <w:r w:rsidR="00D02FB8">
        <w:t>)</w:t>
      </w:r>
      <w:r>
        <w:t xml:space="preserve"> and </w:t>
      </w:r>
      <w:r w:rsidR="0062304A">
        <w:t>T</w:t>
      </w:r>
      <w:r w:rsidR="0062304A" w:rsidRPr="0062304A">
        <w:rPr>
          <w:vertAlign w:val="subscript"/>
        </w:rPr>
        <w:t>PDSL</w:t>
      </w:r>
      <w:r>
        <w:t xml:space="preserve"> </w:t>
      </w:r>
      <w:r w:rsidR="00D02FB8">
        <w:t>(</w:t>
      </w:r>
      <w:r w:rsidR="00D02FB8">
        <w:rPr>
          <w:rFonts w:cstheme="minorHAnsi"/>
        </w:rPr>
        <w:t>°</w:t>
      </w:r>
      <w:r w:rsidR="00D02FB8">
        <w:t xml:space="preserve">C) </w:t>
      </w:r>
      <w:r>
        <w:t>values</w:t>
      </w:r>
      <w:r w:rsidR="006A5887">
        <w:t xml:space="preserve"> (</w:t>
      </w:r>
      <w:r w:rsidR="0062304A">
        <w:t xml:space="preserve">see </w:t>
      </w:r>
      <w:r w:rsidR="006A5887">
        <w:t>supplemental information in Proud et al. 2017</w:t>
      </w:r>
      <w:r w:rsidR="0062304A">
        <w:t>, Table 1</w:t>
      </w:r>
      <w:r w:rsidR="006A5887">
        <w:t>)</w:t>
      </w:r>
      <w:r w:rsidR="00441AC8">
        <w:t>. These biophysical variables</w:t>
      </w:r>
      <w:r w:rsidR="006A5887">
        <w:t xml:space="preserve"> parametrised a simple linear model</w:t>
      </w:r>
      <w:r w:rsidR="003901EC">
        <w:t xml:space="preserve"> (R</w:t>
      </w:r>
      <w:r w:rsidR="003901EC" w:rsidRPr="003901EC">
        <w:rPr>
          <w:vertAlign w:val="superscript"/>
        </w:rPr>
        <w:t>2</w:t>
      </w:r>
      <w:r w:rsidR="003901EC">
        <w:t xml:space="preserve"> = 0.93)</w:t>
      </w:r>
      <w:r w:rsidR="006A5887">
        <w:t xml:space="preserve"> that predicted the area-backscattering coefficient (mean backscatter per m</w:t>
      </w:r>
      <w:r w:rsidR="006A5887" w:rsidRPr="006A5887">
        <w:rPr>
          <w:vertAlign w:val="superscript"/>
        </w:rPr>
        <w:t>2</w:t>
      </w:r>
      <w:r w:rsidR="006A5887">
        <w:t xml:space="preserve"> for a given depth range) </w:t>
      </w:r>
      <w:r w:rsidR="0045648E">
        <w:t>of</w:t>
      </w:r>
      <w:r w:rsidR="006A5887">
        <w:t xml:space="preserve"> DSL backscatter,</w:t>
      </w:r>
    </w:p>
    <w:p w14:paraId="77E5CA2B" w14:textId="6A0EE4D4" w:rsidR="006A5887" w:rsidRPr="0019042D" w:rsidRDefault="007C29A3" w:rsidP="00853085">
      <w:pPr>
        <w:rPr>
          <w:rFonts w:cstheme="minorHAnsi"/>
        </w:rPr>
      </w:pPr>
      <m:oMathPara>
        <m:oMath>
          <m:acc>
            <m:accPr>
              <m:ctrlPr>
                <w:rPr>
                  <w:rFonts w:ascii="Cambria Math" w:hAnsi="Cambria Math" w:cstheme="minorHAnsi"/>
                </w:rPr>
              </m:ctrlPr>
            </m:accPr>
            <m:e>
              <m:sSub>
                <m:sSubPr>
                  <m:ctrlPr>
                    <w:rPr>
                      <w:rFonts w:ascii="Cambria Math" w:hAnsi="Cambria Math" w:cstheme="minorHAnsi"/>
                    </w:rPr>
                  </m:ctrlPr>
                </m:sSubPr>
                <m:e>
                  <m:r>
                    <m:rPr>
                      <m:sty m:val="p"/>
                    </m:rPr>
                    <w:rPr>
                      <w:rFonts w:ascii="Cambria Math" w:hAnsi="Cambria Math" w:cstheme="minorHAnsi"/>
                    </w:rPr>
                    <m:t>s</m:t>
                  </m:r>
                </m:e>
                <m:sub>
                  <m:r>
                    <m:rPr>
                      <m:sty m:val="p"/>
                    </m:rPr>
                    <w:rPr>
                      <w:rFonts w:ascii="Cambria Math" w:hAnsi="Cambria Math" w:cstheme="minorHAnsi"/>
                    </w:rPr>
                    <m:t>a</m:t>
                  </m:r>
                </m:sub>
              </m:sSub>
            </m:e>
          </m:acc>
          <m:r>
            <m:rPr>
              <m:sty m:val="p"/>
            </m:rPr>
            <w:rPr>
              <w:rFonts w:ascii="Cambria Math" w:hAnsi="Cambria Math" w:cstheme="minorHAnsi"/>
            </w:rPr>
            <m:t>=-1.34×</m:t>
          </m:r>
          <m:sSup>
            <m:sSupPr>
              <m:ctrlPr>
                <w:rPr>
                  <w:rFonts w:ascii="Cambria Math" w:hAnsi="Cambria Math" w:cstheme="minorHAnsi"/>
                </w:rPr>
              </m:ctrlPr>
            </m:sSupPr>
            <m:e>
              <m:r>
                <m:rPr>
                  <m:sty m:val="p"/>
                </m:rPr>
                <w:rPr>
                  <w:rFonts w:ascii="Cambria Math" w:hAnsi="Cambria Math" w:cstheme="minorHAnsi"/>
                </w:rPr>
                <m:t>10</m:t>
              </m:r>
            </m:e>
            <m:sup>
              <m:r>
                <m:rPr>
                  <m:sty m:val="p"/>
                </m:rPr>
                <w:rPr>
                  <w:rFonts w:ascii="Cambria Math" w:hAnsi="Cambria Math" w:cstheme="minorHAnsi"/>
                </w:rPr>
                <m:t>-6</m:t>
              </m:r>
            </m:sup>
          </m:sSup>
          <m:r>
            <m:rPr>
              <m:sty m:val="p"/>
            </m:rPr>
            <w:rPr>
              <w:rFonts w:ascii="Cambria Math" w:hAnsi="Cambria Math" w:cstheme="minorHAnsi"/>
            </w:rPr>
            <m:t>+8.62×</m:t>
          </m:r>
          <m:sSup>
            <m:sSupPr>
              <m:ctrlPr>
                <w:rPr>
                  <w:rFonts w:ascii="Cambria Math" w:hAnsi="Cambria Math" w:cstheme="minorHAnsi"/>
                </w:rPr>
              </m:ctrlPr>
            </m:sSupPr>
            <m:e>
              <m:r>
                <m:rPr>
                  <m:sty m:val="p"/>
                </m:rPr>
                <w:rPr>
                  <w:rFonts w:ascii="Cambria Math" w:hAnsi="Cambria Math" w:cstheme="minorHAnsi"/>
                </w:rPr>
                <m:t>10</m:t>
              </m:r>
            </m:e>
            <m:sup>
              <m:r>
                <m:rPr>
                  <m:sty m:val="p"/>
                </m:rPr>
                <w:rPr>
                  <w:rFonts w:ascii="Cambria Math" w:hAnsi="Cambria Math" w:cstheme="minorHAnsi"/>
                </w:rPr>
                <m:t>-6</m:t>
              </m:r>
            </m:sup>
          </m:sSup>
          <m:r>
            <m:rPr>
              <m:sty m:val="p"/>
            </m:rPr>
            <w:rPr>
              <w:rFonts w:ascii="Cambria Math" w:hAnsi="Cambria Math" w:cstheme="minorHAnsi"/>
            </w:rPr>
            <m:t>×</m:t>
          </m:r>
          <m:d>
            <m:dPr>
              <m:ctrlPr>
                <w:rPr>
                  <w:rFonts w:ascii="Cambria Math" w:hAnsi="Cambria Math" w:cstheme="minorHAnsi"/>
                </w:rPr>
              </m:ctrlPr>
            </m:dPr>
            <m:e>
              <m:r>
                <m:rPr>
                  <m:sty m:val="p"/>
                </m:rPr>
                <w:rPr>
                  <w:rFonts w:ascii="Cambria Math" w:hAnsi="Cambria Math" w:cstheme="minorHAnsi"/>
                </w:rPr>
                <m:t>PP×</m:t>
              </m:r>
              <m:sSub>
                <m:sSubPr>
                  <m:ctrlPr>
                    <w:rPr>
                      <w:rFonts w:ascii="Cambria Math" w:hAnsi="Cambria Math" w:cstheme="minorHAnsi"/>
                    </w:rPr>
                  </m:ctrlPr>
                </m:sSubPr>
                <m:e>
                  <m:r>
                    <m:rPr>
                      <m:sty m:val="p"/>
                    </m:rPr>
                    <w:rPr>
                      <w:rFonts w:ascii="Cambria Math" w:hAnsi="Cambria Math" w:cstheme="minorHAnsi"/>
                    </w:rPr>
                    <m:t>T</m:t>
                  </m:r>
                </m:e>
                <m:sub>
                  <m:r>
                    <m:rPr>
                      <m:sty m:val="p"/>
                    </m:rPr>
                    <w:rPr>
                      <w:rFonts w:ascii="Cambria Math" w:hAnsi="Cambria Math" w:cstheme="minorHAnsi"/>
                    </w:rPr>
                    <m:t>PDSL</m:t>
                  </m:r>
                </m:sub>
              </m:sSub>
            </m:e>
          </m:d>
          <m:r>
            <m:rPr>
              <m:sty m:val="p"/>
            </m:rPr>
            <w:rPr>
              <w:rFonts w:ascii="Cambria Math" w:hAnsi="Cambria Math" w:cstheme="minorHAnsi"/>
            </w:rPr>
            <m:t>.    (1)</m:t>
          </m:r>
        </m:oMath>
      </m:oMathPara>
    </w:p>
    <w:p w14:paraId="1E4A6664" w14:textId="2CE4B244" w:rsidR="0062304A" w:rsidRDefault="0062304A" w:rsidP="00853085">
      <w:r>
        <w:t>Values of T</w:t>
      </w:r>
      <w:r w:rsidRPr="0062304A">
        <w:rPr>
          <w:vertAlign w:val="subscript"/>
        </w:rPr>
        <w:t>PDSL</w:t>
      </w:r>
      <w:r>
        <w:t xml:space="preserve"> were estimated by predicting the </w:t>
      </w:r>
      <w:r w:rsidR="00441AC8">
        <w:t xml:space="preserve">principal (or most common) </w:t>
      </w:r>
      <w:r>
        <w:t xml:space="preserve">depth of the DSL </w:t>
      </w:r>
      <w:r w:rsidR="00441AC8">
        <w:t>(Z</w:t>
      </w:r>
      <w:r w:rsidR="00441AC8" w:rsidRPr="00441AC8">
        <w:rPr>
          <w:vertAlign w:val="subscript"/>
        </w:rPr>
        <w:t>PDSL</w:t>
      </w:r>
      <w:r w:rsidR="00441AC8">
        <w:t xml:space="preserve">) </w:t>
      </w:r>
      <w:r>
        <w:t xml:space="preserve">using </w:t>
      </w:r>
      <w:r w:rsidR="0045648E">
        <w:t>a</w:t>
      </w:r>
      <w:r>
        <w:t xml:space="preserve"> </w:t>
      </w:r>
      <w:r w:rsidR="00441AC8">
        <w:t>multi-</w:t>
      </w:r>
      <w:r>
        <w:t>linear model</w:t>
      </w:r>
      <w:r w:rsidR="003901EC">
        <w:t xml:space="preserve"> (R</w:t>
      </w:r>
      <w:r w:rsidR="003901EC" w:rsidRPr="003901EC">
        <w:rPr>
          <w:vertAlign w:val="superscript"/>
        </w:rPr>
        <w:t>2</w:t>
      </w:r>
      <w:r w:rsidR="003901EC">
        <w:t xml:space="preserve"> = 0.68)</w:t>
      </w:r>
      <w:r>
        <w:t xml:space="preserve">, which </w:t>
      </w:r>
      <w:r w:rsidR="00D02FB8">
        <w:t>was</w:t>
      </w:r>
      <w:r>
        <w:t xml:space="preserve"> given by</w:t>
      </w:r>
    </w:p>
    <w:p w14:paraId="60AFD0B6" w14:textId="6C53FB97" w:rsidR="0062304A" w:rsidRPr="0019042D" w:rsidRDefault="007C29A3" w:rsidP="00853085">
      <w:pPr>
        <w:rPr>
          <w:rFonts w:cstheme="minorHAnsi"/>
        </w:rPr>
      </w:pPr>
      <m:oMathPara>
        <m:oMath>
          <m:acc>
            <m:accPr>
              <m:ctrlPr>
                <w:rPr>
                  <w:rFonts w:ascii="Cambria Math" w:hAnsi="Cambria Math" w:cstheme="minorHAnsi"/>
                </w:rPr>
              </m:ctrlPr>
            </m:accPr>
            <m:e>
              <m:sSub>
                <m:sSubPr>
                  <m:ctrlPr>
                    <w:rPr>
                      <w:rFonts w:ascii="Cambria Math" w:hAnsi="Cambria Math" w:cstheme="minorHAnsi"/>
                    </w:rPr>
                  </m:ctrlPr>
                </m:sSubPr>
                <m:e>
                  <m:r>
                    <m:rPr>
                      <m:nor/>
                    </m:rPr>
                    <w:rPr>
                      <w:rFonts w:cstheme="minorHAnsi"/>
                    </w:rPr>
                    <m:t>Z</m:t>
                  </m:r>
                </m:e>
                <m:sub>
                  <m:r>
                    <m:rPr>
                      <m:nor/>
                    </m:rPr>
                    <w:rPr>
                      <w:rFonts w:cstheme="minorHAnsi"/>
                    </w:rPr>
                    <m:t>PDSL</m:t>
                  </m:r>
                </m:sub>
              </m:sSub>
            </m:e>
          </m:acc>
          <m:r>
            <m:rPr>
              <m:nor/>
            </m:rPr>
            <w:rPr>
              <w:rFonts w:cstheme="minorHAnsi"/>
            </w:rPr>
            <m:t>=483.8+1272×τ-143×PP</m:t>
          </m:r>
          <m:r>
            <m:rPr>
              <m:nor/>
            </m:rPr>
            <w:rPr>
              <w:rFonts w:ascii="Cambria Math" w:cstheme="minorHAnsi"/>
            </w:rPr>
            <m:t>,</m:t>
          </m:r>
          <m:r>
            <m:rPr>
              <m:nor/>
            </m:rPr>
            <w:rPr>
              <w:rFonts w:cstheme="minorHAnsi"/>
            </w:rPr>
            <m:t xml:space="preserve">    (2)</m:t>
          </m:r>
        </m:oMath>
      </m:oMathPara>
    </w:p>
    <w:p w14:paraId="57E72E69" w14:textId="1676FA71" w:rsidR="0062304A" w:rsidRDefault="0062304A" w:rsidP="00853085">
      <w:r>
        <w:t xml:space="preserve">where </w:t>
      </w:r>
      <w:r>
        <w:rPr>
          <w:rFonts w:cstheme="minorHAnsi"/>
        </w:rPr>
        <w:t>τ (N m</w:t>
      </w:r>
      <w:r w:rsidRPr="0062304A">
        <w:rPr>
          <w:rFonts w:cstheme="minorHAnsi"/>
          <w:vertAlign w:val="superscript"/>
        </w:rPr>
        <w:t>-2</w:t>
      </w:r>
      <w:r>
        <w:rPr>
          <w:rFonts w:cstheme="minorHAnsi"/>
        </w:rPr>
        <w:t>)</w:t>
      </w:r>
      <w:r>
        <w:t xml:space="preserve"> is the magnitude of </w:t>
      </w:r>
      <w:r w:rsidR="00D02FB8">
        <w:t xml:space="preserve">the surface </w:t>
      </w:r>
      <w:r>
        <w:t>wind stress (</w:t>
      </w:r>
      <w:r w:rsidR="00D02FB8">
        <w:t xml:space="preserve">a proxy for surface </w:t>
      </w:r>
      <w:r>
        <w:t>mixing)</w:t>
      </w:r>
      <w:r w:rsidR="00D02FB8">
        <w:t>.</w:t>
      </w:r>
    </w:p>
    <w:p w14:paraId="79A96361" w14:textId="356BB668" w:rsidR="00853085" w:rsidRPr="00853085" w:rsidRDefault="006A5887" w:rsidP="00853085">
      <w:r>
        <w:t xml:space="preserve">The </w:t>
      </w:r>
      <w:r w:rsidR="0045648E">
        <w:t>ten</w:t>
      </w:r>
      <w:r>
        <w:t xml:space="preserve">-class model partitioned the open-ocean into 36 </w:t>
      </w:r>
      <w:r w:rsidR="009D7288">
        <w:t xml:space="preserve">spatially-distinct </w:t>
      </w:r>
      <w:r>
        <w:t>regions.</w:t>
      </w:r>
      <w:r w:rsidR="009D7288">
        <w:t xml:space="preserve"> </w:t>
      </w:r>
      <w:r>
        <w:t xml:space="preserve">In the global </w:t>
      </w:r>
      <w:r w:rsidR="009D7288">
        <w:t xml:space="preserve">partitioning, </w:t>
      </w:r>
      <w:r>
        <w:t xml:space="preserve">the Southern Ocean was mainly consistent of a single </w:t>
      </w:r>
      <w:r w:rsidR="009D7288">
        <w:t xml:space="preserve">region (class 1), characterised by </w:t>
      </w:r>
      <w:r w:rsidR="00441AC8">
        <w:t xml:space="preserve">relatively </w:t>
      </w:r>
      <w:r w:rsidR="009D7288">
        <w:t>low PP and low T</w:t>
      </w:r>
      <w:r w:rsidR="009D7288" w:rsidRPr="009D7288">
        <w:rPr>
          <w:vertAlign w:val="subscript"/>
        </w:rPr>
        <w:t>PDSL</w:t>
      </w:r>
      <w:r w:rsidR="009D7288">
        <w:t xml:space="preserve"> </w:t>
      </w:r>
      <w:r w:rsidR="00441AC8">
        <w:t xml:space="preserve">values </w:t>
      </w:r>
      <w:r w:rsidR="009D7288">
        <w:t>(Figure 1).</w:t>
      </w:r>
    </w:p>
    <w:p w14:paraId="63893C1B" w14:textId="77777777" w:rsidR="008B6701" w:rsidRDefault="008B6701" w:rsidP="008E2838">
      <w:pPr>
        <w:jc w:val="center"/>
        <w:rPr>
          <w:rFonts w:eastAsia="Arial"/>
          <w:noProof/>
        </w:rPr>
      </w:pPr>
    </w:p>
    <w:p w14:paraId="79131EC8" w14:textId="19E56C8D" w:rsidR="00D7758E" w:rsidRDefault="00BC5510" w:rsidP="008E2838">
      <w:pPr>
        <w:jc w:val="center"/>
        <w:rPr>
          <w:rFonts w:eastAsia="Arial"/>
        </w:rPr>
      </w:pPr>
      <w:r>
        <w:rPr>
          <w:rFonts w:eastAsia="Arial"/>
          <w:noProof/>
        </w:rPr>
        <w:lastRenderedPageBreak/>
        <w:drawing>
          <wp:inline distT="0" distB="0" distL="0" distR="0" wp14:anchorId="63A3A59A" wp14:editId="4733A7FA">
            <wp:extent cx="5737860" cy="4419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t="10709" b="5354"/>
                    <a:stretch/>
                  </pic:blipFill>
                  <pic:spPr bwMode="auto">
                    <a:xfrm>
                      <a:off x="0" y="0"/>
                      <a:ext cx="5737860" cy="4419600"/>
                    </a:xfrm>
                    <a:prstGeom prst="rect">
                      <a:avLst/>
                    </a:prstGeom>
                    <a:noFill/>
                    <a:ln>
                      <a:noFill/>
                    </a:ln>
                    <a:extLst>
                      <a:ext uri="{53640926-AAD7-44D8-BBD7-CCE9431645EC}">
                        <a14:shadowObscured xmlns:a14="http://schemas.microsoft.com/office/drawing/2010/main"/>
                      </a:ext>
                    </a:extLst>
                  </pic:spPr>
                </pic:pic>
              </a:graphicData>
            </a:graphic>
          </wp:inline>
        </w:drawing>
      </w:r>
    </w:p>
    <w:p w14:paraId="3CA0AD93" w14:textId="2E39DE21" w:rsidR="0045648E" w:rsidRPr="0045648E" w:rsidRDefault="00BD0FAE" w:rsidP="0045648E">
      <w:pPr>
        <w:pStyle w:val="Caption2"/>
      </w:pPr>
      <w:bookmarkStart w:id="15" w:name="_Toc2505306"/>
      <w:r>
        <w:rPr>
          <w:rFonts w:eastAsia="Arial"/>
        </w:rPr>
        <w:t xml:space="preserve">Figure 1 Southern Ocean mesopelagic biogeography. Adapted from </w:t>
      </w:r>
      <w:r>
        <w:rPr>
          <w:rFonts w:eastAsia="Arial"/>
        </w:rPr>
        <w:fldChar w:fldCharType="begin" w:fldLock="1"/>
      </w:r>
      <w:r w:rsidR="002D710F">
        <w:rPr>
          <w:rFonts w:eastAsia="Arial"/>
        </w:rPr>
        <w:instrText>ADDIN CSL_CITATION {"citationItems":[{"id":"ITEM-1","itemData":{"DOI":"10.1016/j.cub.2016.11.003","ISSN":"09609822","abstract":"The global ocean's near surface can be partitioned into distinct provinces on the basis of regional primary productivity and oceanography [1]. This ecological geography provides a valuable framework for understanding spatial variability in ecosystem function but has relevance only partway into the epipelagic zone (the top 200 m). The mesopelagic (200–1,000 m) makes up approximately 20% of the global ocean volume, plays important roles in biogeochemical cycling [2], and holds potentially huge fish resources [3–5]. It is, however, hidden from satellite observation, and a lack of globally consistent data has prevented development of a global-scale understanding. Acoustic deep scattering layers (DSLs) are prominent features of the mesopelagic. These vertically narrow (tens to hundreds of m) but horizontally extensive (continuous for tens to thousands of km) layers comprise fish and zooplankton and are readily detectable using echosounders. We have compiled a database of DSL characteristics globally. We show that DSL depth and acoustic backscattering intensity (a measure of biomass) can be modeled accurately using just surface primary productivity, temperature, and wind stress. Spatial variability in these environmental factors leads to a natural partition of the mesopelagic into ten distinct classes. These classes demark a more complex biogeography than the latitudinally banded schemes proposed before [6, 7]. Knowledge of how environmental factors influence the mesopelagic enables future change to be explored: we predict that by 2100 there will be widespread homogenization of mesopelagic communities and that mesopelagic biomass could increase by approximately 17%. The biomass increase requires increased trophic efficiency, which could arise because of ocean warming and DSL shallowing.","author":[{"dropping-particle":"","family":"Proud","given":"Roland","non-dropping-particle":"","parse-names":false,"suffix":""},{"dropping-particle":"","family":"Cox","given":"Martin J.","non-dropping-particle":"","parse-names":false,"suffix":""},{"dropping-particle":"","family":"Brierley","given":"Andrew S.","non-dropping-particle":"","parse-names":false,"suffix":""}],"container-title":"Current Biology","id":"ITEM-1","issue":"1","issued":{"date-parts":[["2017","1"]]},"page":"113-119","publisher":"Elsevier Ltd.","title":"Biogeography of the Global Ocean’s Mesopelagic Zone","type":"article-journal","volume":"27"},"uris":["http://www.mendeley.com/documents/?uuid=f18c21b3-1980-46ab-8070-53c6fc36af2d"]}],"mendeley":{"formattedCitation":"(Proud et al. 2017)","manualFormatting":"Proud et al. (2017)","plainTextFormattedCitation":"(Proud et al. 2017)","previouslyFormattedCitation":"(Proud et al. 2017)"},"properties":{"noteIndex":0},"schema":"https://github.com/citation-style-language/schema/raw/master/csl-citation.json"}</w:instrText>
      </w:r>
      <w:r>
        <w:rPr>
          <w:rFonts w:eastAsia="Arial"/>
        </w:rPr>
        <w:fldChar w:fldCharType="separate"/>
      </w:r>
      <w:r w:rsidRPr="00BD0FAE">
        <w:rPr>
          <w:rFonts w:eastAsia="Arial"/>
          <w:noProof/>
        </w:rPr>
        <w:t xml:space="preserve">Proud et al. </w:t>
      </w:r>
      <w:r>
        <w:rPr>
          <w:rFonts w:eastAsia="Arial"/>
          <w:noProof/>
        </w:rPr>
        <w:t>(</w:t>
      </w:r>
      <w:r w:rsidRPr="00BD0FAE">
        <w:rPr>
          <w:rFonts w:eastAsia="Arial"/>
          <w:noProof/>
        </w:rPr>
        <w:t>2017)</w:t>
      </w:r>
      <w:r>
        <w:rPr>
          <w:rFonts w:eastAsia="Arial"/>
        </w:rPr>
        <w:fldChar w:fldCharType="end"/>
      </w:r>
      <w:r>
        <w:rPr>
          <w:rFonts w:eastAsia="Arial"/>
        </w:rPr>
        <w:t>.</w:t>
      </w:r>
      <w:r w:rsidR="0045648E">
        <w:rPr>
          <w:rFonts w:eastAsia="Arial"/>
        </w:rPr>
        <w:t xml:space="preserve"> </w:t>
      </w:r>
      <w:r w:rsidR="006A06B1">
        <w:rPr>
          <w:rFonts w:eastAsia="Arial"/>
        </w:rPr>
        <w:t xml:space="preserve">Colourmap is divided into 10 uniform </w:t>
      </w:r>
      <w:proofErr w:type="spellStart"/>
      <w:r w:rsidR="006A06B1">
        <w:rPr>
          <w:rFonts w:eastAsia="Arial"/>
        </w:rPr>
        <w:t>colours</w:t>
      </w:r>
      <w:proofErr w:type="spellEnd"/>
      <w:r w:rsidR="006A06B1">
        <w:rPr>
          <w:rFonts w:eastAsia="Arial"/>
        </w:rPr>
        <w:t xml:space="preserve">, each representing a single biomass class. </w:t>
      </w:r>
      <w:r w:rsidR="0045648E">
        <w:t>Ross Sea and South Orkney Islands Southern shelf MPAs indicated by magenta outline.</w:t>
      </w:r>
      <w:bookmarkEnd w:id="15"/>
    </w:p>
    <w:p w14:paraId="089500FC" w14:textId="6271D666" w:rsidR="00D7758E" w:rsidRPr="00D7758E" w:rsidRDefault="009D7288" w:rsidP="00D7758E">
      <w:pPr>
        <w:rPr>
          <w:rFonts w:eastAsia="Arial"/>
        </w:rPr>
      </w:pPr>
      <w:r>
        <w:rPr>
          <w:rFonts w:eastAsia="Arial"/>
        </w:rPr>
        <w:t>At</w:t>
      </w:r>
      <w:r w:rsidR="0045648E">
        <w:rPr>
          <w:rFonts w:eastAsia="Arial"/>
        </w:rPr>
        <w:t xml:space="preserve"> </w:t>
      </w:r>
      <w:r>
        <w:rPr>
          <w:rFonts w:eastAsia="Arial"/>
        </w:rPr>
        <w:t>the global</w:t>
      </w:r>
      <w:r w:rsidR="0045648E">
        <w:rPr>
          <w:rFonts w:eastAsia="Arial"/>
        </w:rPr>
        <w:t xml:space="preserve"> scale, the </w:t>
      </w:r>
      <w:r w:rsidR="00441AC8">
        <w:rPr>
          <w:rFonts w:eastAsia="Arial"/>
        </w:rPr>
        <w:t xml:space="preserve">Proud et al.’s (2017) observation </w:t>
      </w:r>
      <w:r>
        <w:rPr>
          <w:rFonts w:eastAsia="Arial"/>
        </w:rPr>
        <w:t>model does not sufficiently resolve variability in the Southern Ocean environment</w:t>
      </w:r>
      <w:r w:rsidR="002560C5">
        <w:rPr>
          <w:rFonts w:eastAsia="Arial"/>
        </w:rPr>
        <w:t xml:space="preserve"> and does not take into account </w:t>
      </w:r>
      <w:r w:rsidR="00A65456">
        <w:rPr>
          <w:rFonts w:eastAsia="Arial"/>
        </w:rPr>
        <w:t>seasonal/</w:t>
      </w:r>
      <w:r w:rsidR="002560C5">
        <w:rPr>
          <w:rFonts w:eastAsia="Arial"/>
        </w:rPr>
        <w:t>annual changes in sea-ice extent</w:t>
      </w:r>
      <w:r w:rsidR="00A65456">
        <w:rPr>
          <w:rFonts w:eastAsia="Arial"/>
        </w:rPr>
        <w:t xml:space="preserve"> or other long-term variations such as the Southern annular mode</w:t>
      </w:r>
      <w:r>
        <w:rPr>
          <w:rFonts w:eastAsia="Arial"/>
        </w:rPr>
        <w:t xml:space="preserve">, instead, it is mainly driven </w:t>
      </w:r>
      <w:r w:rsidR="00A65456">
        <w:rPr>
          <w:rFonts w:eastAsia="Arial"/>
        </w:rPr>
        <w:t>by</w:t>
      </w:r>
      <w:r w:rsidR="00D02FB8">
        <w:rPr>
          <w:rFonts w:eastAsia="Arial"/>
        </w:rPr>
        <w:t xml:space="preserve"> </w:t>
      </w:r>
      <w:r>
        <w:rPr>
          <w:rFonts w:eastAsia="Arial"/>
        </w:rPr>
        <w:t>regional-scale differences in water-mass properties</w:t>
      </w:r>
      <w:r w:rsidR="00A65456">
        <w:rPr>
          <w:rFonts w:eastAsia="Arial"/>
        </w:rPr>
        <w:t xml:space="preserve"> averaged over long periods</w:t>
      </w:r>
      <w:r w:rsidR="006A06B1">
        <w:rPr>
          <w:rFonts w:eastAsia="Arial"/>
        </w:rPr>
        <w:t xml:space="preserve"> of time</w:t>
      </w:r>
      <w:r w:rsidR="00A65456">
        <w:rPr>
          <w:rFonts w:eastAsia="Arial"/>
        </w:rPr>
        <w:t xml:space="preserve"> (years)</w:t>
      </w:r>
      <w:r>
        <w:rPr>
          <w:rFonts w:eastAsia="Arial"/>
        </w:rPr>
        <w:t xml:space="preserve">. To resolve </w:t>
      </w:r>
      <w:r w:rsidR="00A65456">
        <w:rPr>
          <w:rFonts w:eastAsia="Arial"/>
        </w:rPr>
        <w:t xml:space="preserve">smaller-scale variation </w:t>
      </w:r>
      <w:r>
        <w:rPr>
          <w:rFonts w:eastAsia="Arial"/>
        </w:rPr>
        <w:t>in Southern Ocean DSL drivers</w:t>
      </w:r>
      <w:r w:rsidR="00A65456">
        <w:rPr>
          <w:rFonts w:eastAsia="Arial"/>
        </w:rPr>
        <w:t>,</w:t>
      </w:r>
      <w:r>
        <w:rPr>
          <w:rFonts w:eastAsia="Arial"/>
        </w:rPr>
        <w:t xml:space="preserve"> we must first define its boundary </w:t>
      </w:r>
      <w:r w:rsidR="00D02FB8">
        <w:rPr>
          <w:rFonts w:eastAsia="Arial"/>
        </w:rPr>
        <w:t xml:space="preserve">(spatial </w:t>
      </w:r>
      <w:r>
        <w:rPr>
          <w:rFonts w:eastAsia="Arial"/>
        </w:rPr>
        <w:t>extent</w:t>
      </w:r>
      <w:r w:rsidR="00D02FB8">
        <w:rPr>
          <w:rFonts w:eastAsia="Arial"/>
        </w:rPr>
        <w:t>)</w:t>
      </w:r>
      <w:r w:rsidR="00A65456">
        <w:rPr>
          <w:rFonts w:eastAsia="Arial"/>
        </w:rPr>
        <w:t>.</w:t>
      </w:r>
    </w:p>
    <w:p w14:paraId="03F31F8F" w14:textId="743B8ADB" w:rsidR="004E7898" w:rsidRDefault="00D7758E" w:rsidP="004E7898">
      <w:pPr>
        <w:pStyle w:val="Heading2"/>
      </w:pPr>
      <w:bookmarkStart w:id="16" w:name="_Toc2505290"/>
      <w:bookmarkEnd w:id="12"/>
      <w:r>
        <w:t xml:space="preserve">Southern Ocean </w:t>
      </w:r>
      <w:r w:rsidR="00A65456">
        <w:t xml:space="preserve">mesopelagic </w:t>
      </w:r>
      <w:r>
        <w:t>environment</w:t>
      </w:r>
      <w:bookmarkEnd w:id="16"/>
    </w:p>
    <w:p w14:paraId="4D22B789" w14:textId="2EA5CFD9" w:rsidR="008F175D" w:rsidRDefault="009D7288" w:rsidP="008F175D">
      <w:r>
        <w:t xml:space="preserve">The Southern Ocean is the only ocean that is not land-locked and therefore its oceanographic properties are very different to other ocean systems. </w:t>
      </w:r>
      <w:r w:rsidR="00D02FB8">
        <w:t xml:space="preserve">Two key features of the Southern Ocean are </w:t>
      </w:r>
      <w:proofErr w:type="spellStart"/>
      <w:r w:rsidR="00A65456">
        <w:t>i</w:t>
      </w:r>
      <w:proofErr w:type="spellEnd"/>
      <w:r w:rsidR="00A65456">
        <w:t>) the</w:t>
      </w:r>
      <w:r w:rsidR="00D02FB8">
        <w:t xml:space="preserve"> eastward flowing Antarctic </w:t>
      </w:r>
      <w:r w:rsidR="00E14BDF">
        <w:t>C</w:t>
      </w:r>
      <w:r w:rsidR="00D02FB8">
        <w:t xml:space="preserve">ircumpolar </w:t>
      </w:r>
      <w:r w:rsidR="00E14BDF">
        <w:t>C</w:t>
      </w:r>
      <w:r w:rsidR="00D02FB8">
        <w:t>urrent</w:t>
      </w:r>
      <w:r w:rsidR="00E14BDF">
        <w:t xml:space="preserve"> (ACC)</w:t>
      </w:r>
      <w:r w:rsidR="00D02FB8">
        <w:t xml:space="preserve"> which perennially encircles the continent and is responsible for transporting plankton vast distances</w:t>
      </w:r>
      <w:r w:rsidR="00FD3642">
        <w:t xml:space="preserve"> (e.g.</w:t>
      </w:r>
      <w:r w:rsidR="0045648E">
        <w:t xml:space="preserve"> eggs/larvae of</w:t>
      </w:r>
      <w:r w:rsidR="00FD3642">
        <w:t xml:space="preserve"> Antarctic krill)</w:t>
      </w:r>
      <w:r w:rsidR="00A65456">
        <w:t>,</w:t>
      </w:r>
      <w:r w:rsidR="00D02FB8">
        <w:t xml:space="preserve"> and </w:t>
      </w:r>
      <w:r w:rsidR="00A65456">
        <w:t xml:space="preserve">ii) </w:t>
      </w:r>
      <w:r w:rsidR="00D02FB8">
        <w:t xml:space="preserve">the </w:t>
      </w:r>
      <w:r w:rsidR="00A65456">
        <w:t>seasonal</w:t>
      </w:r>
      <w:r w:rsidR="00D02FB8">
        <w:t xml:space="preserve"> changes in sea-ice coverage</w:t>
      </w:r>
      <w:r w:rsidR="00A65456">
        <w:t>, which have a substantial impact on production</w:t>
      </w:r>
      <w:r w:rsidR="00D02FB8">
        <w:t xml:space="preserve">. </w:t>
      </w:r>
      <w:r w:rsidR="00FD3642">
        <w:t>Both</w:t>
      </w:r>
      <w:r w:rsidR="00D02FB8">
        <w:t xml:space="preserve"> features contribute to </w:t>
      </w:r>
      <w:r w:rsidR="00A65456">
        <w:t>the</w:t>
      </w:r>
      <w:r w:rsidR="00D02FB8">
        <w:t xml:space="preserve"> distribution of low-trophic level biomass around the continent. </w:t>
      </w:r>
      <w:proofErr w:type="gramStart"/>
      <w:r w:rsidR="00D02FB8">
        <w:t>In an effort to</w:t>
      </w:r>
      <w:proofErr w:type="gramEnd"/>
      <w:r w:rsidR="00D02FB8">
        <w:t xml:space="preserve"> conserve </w:t>
      </w:r>
      <w:r w:rsidR="00FD3642">
        <w:t xml:space="preserve">Southern Ocean biodiversity (much of which is endemic), two MPAs have been established by CCAMLR (Figure 1), </w:t>
      </w:r>
      <w:r w:rsidR="008F175D">
        <w:t xml:space="preserve">formed of static boxes which fall completely within the Southern Ocean sea-ice zone (white line Figure 2).  </w:t>
      </w:r>
    </w:p>
    <w:p w14:paraId="6602904D" w14:textId="62712331" w:rsidR="004D40D0" w:rsidRDefault="004D40D0" w:rsidP="004D40D0">
      <w:pPr>
        <w:pStyle w:val="Heading3"/>
      </w:pPr>
      <w:bookmarkStart w:id="17" w:name="_Toc2505291"/>
      <w:r>
        <w:lastRenderedPageBreak/>
        <w:t>Temperature</w:t>
      </w:r>
      <w:r w:rsidR="0087649E">
        <w:t xml:space="preserve"> at the DSL depth</w:t>
      </w:r>
      <w:r w:rsidR="00A65456">
        <w:t xml:space="preserve"> (T</w:t>
      </w:r>
      <w:r w:rsidR="00A65456" w:rsidRPr="00A65456">
        <w:rPr>
          <w:vertAlign w:val="subscript"/>
        </w:rPr>
        <w:t>PDSL</w:t>
      </w:r>
      <w:r w:rsidR="00A65456">
        <w:t>)</w:t>
      </w:r>
      <w:bookmarkEnd w:id="17"/>
    </w:p>
    <w:p w14:paraId="545A5043" w14:textId="395FDF58" w:rsidR="009D7288" w:rsidRPr="009D7288" w:rsidRDefault="00FD3642" w:rsidP="009D7288">
      <w:r>
        <w:t>The Southern Ocean can be broken down physically into a</w:t>
      </w:r>
      <w:r w:rsidR="004D40D0">
        <w:t xml:space="preserve"> number of concentric</w:t>
      </w:r>
      <w:r w:rsidR="00A65456">
        <w:t xml:space="preserve"> (but fragmented)</w:t>
      </w:r>
      <w:r w:rsidR="004D40D0">
        <w:t xml:space="preserve"> frontal systems that divide the ocean into </w:t>
      </w:r>
      <w:r w:rsidR="006A06B1">
        <w:t xml:space="preserve">latitudinally </w:t>
      </w:r>
      <w:r w:rsidR="004D40D0">
        <w:t xml:space="preserve">parallel zones, which emanate out from the continent, </w:t>
      </w:r>
      <w:r w:rsidR="00A65456">
        <w:t>beginning with</w:t>
      </w:r>
      <w:r w:rsidR="004D40D0">
        <w:t xml:space="preserve"> the polar front </w:t>
      </w:r>
      <w:r w:rsidR="003901EC">
        <w:t xml:space="preserve">located close to the maximum </w:t>
      </w:r>
      <w:r w:rsidR="00A65456">
        <w:t xml:space="preserve">winter sea-ice </w:t>
      </w:r>
      <w:r w:rsidR="006A06B1">
        <w:t>extent</w:t>
      </w:r>
      <w:r w:rsidR="00A65456">
        <w:t xml:space="preserve">, </w:t>
      </w:r>
      <w:r w:rsidR="004D40D0">
        <w:t>through to the subantarctic and subtropical fronts (Figure 2)</w:t>
      </w:r>
      <w:r>
        <w:t xml:space="preserve">; </w:t>
      </w:r>
      <w:r w:rsidR="00E14BDF">
        <w:t>in fact, this physical</w:t>
      </w:r>
      <w:r>
        <w:t xml:space="preserve"> partitioning of the ocean was used by Mary Sommerville in the first real attempt to define a global biogeography in 1862-1870, where she defined a physical geography consistent of 9 latitudinal ‘homo-</w:t>
      </w:r>
      <w:proofErr w:type="spellStart"/>
      <w:r>
        <w:t>zoic</w:t>
      </w:r>
      <w:proofErr w:type="spellEnd"/>
      <w:r>
        <w:t>’ zones.</w:t>
      </w:r>
      <w:r w:rsidR="00A65456">
        <w:t xml:space="preserve"> </w:t>
      </w:r>
      <w:r w:rsidR="004D40D0">
        <w:t xml:space="preserve">Transitions across frontal boundaries </w:t>
      </w:r>
      <w:r w:rsidR="006A06B1">
        <w:t xml:space="preserve">coincide with </w:t>
      </w:r>
      <w:r w:rsidR="004D40D0">
        <w:t xml:space="preserve">stark changes in </w:t>
      </w:r>
      <w:r w:rsidR="0045648E">
        <w:t xml:space="preserve">the </w:t>
      </w:r>
      <w:r w:rsidR="004D40D0">
        <w:t>environment and often represent boundaries for fauna</w:t>
      </w:r>
      <w:r w:rsidR="00E14BDF">
        <w:t xml:space="preserve"> with limited temperature ra</w:t>
      </w:r>
      <w:r w:rsidR="00A65456">
        <w:t>n</w:t>
      </w:r>
      <w:r w:rsidR="00E14BDF">
        <w:t>ges</w:t>
      </w:r>
      <w:r w:rsidR="004D40D0">
        <w:t xml:space="preserve"> (e.g. krill species</w:t>
      </w:r>
      <w:r w:rsidR="00A65456">
        <w:t xml:space="preserve">; </w:t>
      </w:r>
      <w:r w:rsidR="00A65456">
        <w:fldChar w:fldCharType="begin" w:fldLock="1"/>
      </w:r>
      <w:r w:rsidR="002D710F">
        <w:instrText>ADDIN CSL_CITATION {"citationItems":[{"id":"ITEM-1","itemData":{"DOI":"10.1641/0006-3568(2006)056[0111:KCASIE]2.0.CO;2","ISBN":"00063568","ISSN":"0006-3568","abstract":"Investigations of Antarctic krill (Euphausia superba) over the last 40 years have examined almost every aspect of the biology of these ecologically important animals.Various elements of krill biology have been brought together to provide concepts of how this species interacts with its environment, but there have been few recent attempts to generate a generalized conceptual model of its life history. In this article I present such a model, based on previous descriptions, observations, and recent data from the scientific literature. This model takes into account a range of findings on krill biology and on the relationships between Antarctic krill and its biotic and abiotic environment. Krill life history is thus viewed as an evolved product of interactions between the species and its environment. The model places particular emphasis on the different forces that act on the larval and adult stages, and on the interaction between krill behavior, systems of ocean currents, and sea ice.","author":[{"dropping-particle":"","family":"Nicol","given":"Stephen","non-dropping-particle":"","parse-names":false,"suffix":""}],"container-title":"BioScience","id":"ITEM-1","issue":"2","issued":{"date-parts":[["2006"]]},"page":"111","title":"Krill, Currents, and Sea Ice: Euphausia superba and Its Changing Environment","type":"article-journal","volume":"56"},"uris":["http://www.mendeley.com/documents/?uuid=11d40c98-7d2f-4670-9ca7-dac3c6d06d1d"]}],"mendeley":{"formattedCitation":"(Nicol 2006)","manualFormatting":"Nicol 2006)","plainTextFormattedCitation":"(Nicol 2006)","previouslyFormattedCitation":"(Nicol 2006)"},"properties":{"noteIndex":0},"schema":"https://github.com/citation-style-language/schema/raw/master/csl-citation.json"}</w:instrText>
      </w:r>
      <w:r w:rsidR="00A65456">
        <w:fldChar w:fldCharType="separate"/>
      </w:r>
      <w:r w:rsidR="00A65456" w:rsidRPr="00A65456">
        <w:rPr>
          <w:noProof/>
        </w:rPr>
        <w:t>Nicol 2006)</w:t>
      </w:r>
      <w:r w:rsidR="00A65456">
        <w:fldChar w:fldCharType="end"/>
      </w:r>
      <w:r w:rsidR="00E14BDF">
        <w:t xml:space="preserve"> which is typical of Southern Ocean species; interestingly</w:t>
      </w:r>
      <w:r w:rsidR="004F494B">
        <w:t>,</w:t>
      </w:r>
      <w:r w:rsidR="00E14BDF">
        <w:t xml:space="preserve"> this is not the case in the Arctic, Northern krill (</w:t>
      </w:r>
      <w:proofErr w:type="spellStart"/>
      <w:r w:rsidR="00E14BDF">
        <w:t>Meganyctiphanes</w:t>
      </w:r>
      <w:proofErr w:type="spellEnd"/>
      <w:r w:rsidR="00E14BDF">
        <w:t xml:space="preserve"> </w:t>
      </w:r>
      <w:proofErr w:type="spellStart"/>
      <w:r w:rsidR="00E14BDF">
        <w:t>norvegica</w:t>
      </w:r>
      <w:proofErr w:type="spellEnd"/>
      <w:r w:rsidR="00E14BDF">
        <w:t xml:space="preserve">) for example, have </w:t>
      </w:r>
      <w:r w:rsidR="004F494B">
        <w:t xml:space="preserve">much </w:t>
      </w:r>
      <w:r w:rsidR="00E14BDF">
        <w:t>broad</w:t>
      </w:r>
      <w:r w:rsidR="004F494B">
        <w:t>er</w:t>
      </w:r>
      <w:r w:rsidR="00E14BDF">
        <w:t xml:space="preserve"> temperature ranges </w:t>
      </w:r>
      <w:r w:rsidR="006A06B1">
        <w:t>that</w:t>
      </w:r>
      <w:r w:rsidR="00E14BDF">
        <w:t xml:space="preserve"> may make them more resilient to future climate change</w:t>
      </w:r>
      <w:r w:rsidR="004D40D0">
        <w:t xml:space="preserve">. </w:t>
      </w:r>
      <w:r w:rsidR="00E14BDF">
        <w:t>The temperatures changes at the surface are often (but now always) reflected by similar changes in the mesopelagic zone (dependent on deep water-mass structure) and therefore will likely impact</w:t>
      </w:r>
      <w:r w:rsidR="004D40D0">
        <w:t xml:space="preserve"> T</w:t>
      </w:r>
      <w:r w:rsidR="004D40D0" w:rsidRPr="00E14BDF">
        <w:rPr>
          <w:vertAlign w:val="subscript"/>
        </w:rPr>
        <w:t>PDSL</w:t>
      </w:r>
      <w:r w:rsidR="004D40D0">
        <w:t xml:space="preserve"> and </w:t>
      </w:r>
      <w:r w:rsidR="00E14BDF">
        <w:t>hence</w:t>
      </w:r>
      <w:r w:rsidR="004D40D0">
        <w:t xml:space="preserve"> </w:t>
      </w:r>
      <w:r w:rsidR="0045648E">
        <w:t xml:space="preserve">DSL </w:t>
      </w:r>
      <w:r w:rsidR="004D40D0">
        <w:t xml:space="preserve">biomass. </w:t>
      </w:r>
    </w:p>
    <w:p w14:paraId="6A5AC8BD" w14:textId="0084629E" w:rsidR="00D7758E" w:rsidRDefault="006151C4" w:rsidP="008E2838">
      <w:pPr>
        <w:jc w:val="center"/>
      </w:pPr>
      <w:r>
        <w:rPr>
          <w:noProof/>
        </w:rPr>
        <w:drawing>
          <wp:inline distT="0" distB="0" distL="0" distR="0" wp14:anchorId="6A0D7CA7" wp14:editId="537C81B9">
            <wp:extent cx="5737860" cy="44424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a:extLst>
                        <a:ext uri="{28A0092B-C50C-407E-A947-70E740481C1C}">
                          <a14:useLocalDpi xmlns:a14="http://schemas.microsoft.com/office/drawing/2010/main" val="0"/>
                        </a:ext>
                      </a:extLst>
                    </a:blip>
                    <a:srcRect t="11394" b="10455"/>
                    <a:stretch/>
                  </pic:blipFill>
                  <pic:spPr bwMode="auto">
                    <a:xfrm>
                      <a:off x="0" y="0"/>
                      <a:ext cx="5737860" cy="4442460"/>
                    </a:xfrm>
                    <a:prstGeom prst="rect">
                      <a:avLst/>
                    </a:prstGeom>
                    <a:noFill/>
                    <a:ln>
                      <a:noFill/>
                    </a:ln>
                    <a:extLst>
                      <a:ext uri="{53640926-AAD7-44D8-BBD7-CCE9431645EC}">
                        <a14:shadowObscured xmlns:a14="http://schemas.microsoft.com/office/drawing/2010/main"/>
                      </a:ext>
                    </a:extLst>
                  </pic:spPr>
                </pic:pic>
              </a:graphicData>
            </a:graphic>
          </wp:inline>
        </w:drawing>
      </w:r>
    </w:p>
    <w:p w14:paraId="0D682EC3" w14:textId="61AB915A" w:rsidR="00D7758E" w:rsidRDefault="005E3596" w:rsidP="004D40D0">
      <w:pPr>
        <w:pStyle w:val="Caption2"/>
      </w:pPr>
      <w:bookmarkStart w:id="18" w:name="_Toc2505307"/>
      <w:r>
        <w:t xml:space="preserve">Figure 2 Southern Ocean environment. </w:t>
      </w:r>
      <w:r w:rsidR="00046154">
        <w:t>Red</w:t>
      </w:r>
      <w:r>
        <w:t xml:space="preserve"> </w:t>
      </w:r>
      <w:r w:rsidRPr="00BB24ED">
        <w:t xml:space="preserve">lines mark </w:t>
      </w:r>
      <w:r w:rsidR="00BB24ED" w:rsidRPr="00BB24ED">
        <w:fldChar w:fldCharType="begin" w:fldLock="1"/>
      </w:r>
      <w:r w:rsidR="002D710F">
        <w:instrText>ADDIN CSL_CITATION {"citationItems":[{"id":"ITEM-1","itemData":{"DOI":"10.1016/0967-0637(95)00021-W","ISBN":"0967-0637","ISSN":"09670637","abstract":"Large-scale features of the Antarctic Circumpolar Current (ACC) are described using all historical hydrographic data available from the Southern Ocean. The geopotential anomaly of the sea surface relative to 1000 db reveals the highly-sheared eastward flow of the ACC and the strong steering of the current by the ridge system around Antarctica. The near-surface property distributions differentiate the ACC waters from the warmer and saltier waters of the subtropical regimes. The Subtropical Front (STF), interrupted only by South America, marks the northern most extent of subantarctic waters. Distributions of properties on isopycnal surfaces show an abrupt end to the characteristic signal of the Upper Circumpolar Deep Water (UCDW), as this water mass shoals southward and is entrained into the surface mixed layer. This sharp water mass boundary nearly coincides with the southernmost circumpolar streamline passing through Drake Passage. To its south are the weakly-sheared circulations of the subpolar regime. Inspection of many hydrographic crossings of this transition reveals that the poleward edge of the UCD W signal is a reasonable definition of the southern boundary of the ACC. At Drake Passage, three deep-reaching fronts account for most of the ACC transport. Well-established indicators of the Subantarctic Front and Polar Front are traced unbroken around Antarctica. The third deep-reaching front observed to the south of the Polar Front at Drake Passage also continues with similar characteristics as a circumpolar feature. It is called here the southern ACC front. Stations from multiple synoptic transects of these circumpolar fronts are used to describe the average property structure within each ACC zone. Between the STF and the southern boundary of the ACC, the shear transport of the circumpolar current above 3000 m is at all longitudes about 100 Sv (1 Sv = 106 m3 s-) eastward. ?? 1995.","author":[{"dropping-particle":"","family":"Orsi","given":"Alejandro H.","non-dropping-particle":"","parse-names":false,"suffix":""},{"dropping-particle":"","family":"Whitworth","given":"Thomas","non-dropping-particle":"","parse-names":false,"suffix":""},{"dropping-particle":"","family":"Nowlin","given":"Worth D.","non-dropping-particle":"","parse-names":false,"suffix":""}],"container-title":"Deep-Sea Research Part I","id":"ITEM-1","issue":"5","issued":{"date-parts":[["1995"]]},"page":"641-673","title":"On the meridional extent and fronts of the Antarctic Circumpolar Current","type":"article-journal","volume":"42"},"uris":["http://www.mendeley.com/documents/?uuid=1d0f5aad-6040-49ca-956d-935a18bc5d0f"]}],"mendeley":{"formattedCitation":"(Orsi et al. 1995)","manualFormatting":"Orsi et al. (1995)","plainTextFormattedCitation":"(Orsi et al. 1995)","previouslyFormattedCitation":"(Orsi et al. 1995)"},"properties":{"noteIndex":0},"schema":"https://github.com/citation-style-language/schema/raw/master/csl-citation.json"}</w:instrText>
      </w:r>
      <w:r w:rsidR="00BB24ED" w:rsidRPr="00BB24ED">
        <w:fldChar w:fldCharType="separate"/>
      </w:r>
      <w:r w:rsidR="00BB24ED" w:rsidRPr="00BB24ED">
        <w:rPr>
          <w:noProof/>
        </w:rPr>
        <w:t>Orsi et al. (1995)</w:t>
      </w:r>
      <w:r w:rsidR="00BB24ED" w:rsidRPr="00BB24ED">
        <w:fldChar w:fldCharType="end"/>
      </w:r>
      <w:r w:rsidR="00BB24ED" w:rsidRPr="00BB24ED">
        <w:t xml:space="preserve"> </w:t>
      </w:r>
      <w:r w:rsidR="00046154" w:rsidRPr="00BB24ED">
        <w:t>mean</w:t>
      </w:r>
      <w:r w:rsidRPr="00BB24ED">
        <w:t xml:space="preserve"> frontal</w:t>
      </w:r>
      <w:r>
        <w:t xml:space="preserve"> boundaries</w:t>
      </w:r>
      <w:r w:rsidR="00046154">
        <w:t xml:space="preserve"> of Polar front, Subantarctic front and Subtropical front, which increase in latitude</w:t>
      </w:r>
      <w:r w:rsidR="006A06B1">
        <w:t xml:space="preserve"> from the continent</w:t>
      </w:r>
      <w:r w:rsidR="00046154">
        <w:t xml:space="preserve"> respectively</w:t>
      </w:r>
      <w:r>
        <w:t xml:space="preserve">. Light blue shading and </w:t>
      </w:r>
      <w:r w:rsidR="00046154">
        <w:t>white</w:t>
      </w:r>
      <w:r>
        <w:t xml:space="preserve"> line denote minimum and maximum sea-ice extent respectively. Ross Sea </w:t>
      </w:r>
      <w:r w:rsidR="00046154">
        <w:t xml:space="preserve">and </w:t>
      </w:r>
      <w:r w:rsidR="00E14BDF">
        <w:t>South Orkney Islands Southern shelf</w:t>
      </w:r>
      <w:r>
        <w:t xml:space="preserve"> </w:t>
      </w:r>
      <w:r w:rsidR="00046154">
        <w:t xml:space="preserve">MPAs </w:t>
      </w:r>
      <w:r>
        <w:t xml:space="preserve">indicated by </w:t>
      </w:r>
      <w:r w:rsidR="00046154">
        <w:t>magenta</w:t>
      </w:r>
      <w:r>
        <w:t xml:space="preserve"> </w:t>
      </w:r>
      <w:r w:rsidR="00046154">
        <w:t>out</w:t>
      </w:r>
      <w:r>
        <w:t>line.</w:t>
      </w:r>
      <w:bookmarkEnd w:id="18"/>
    </w:p>
    <w:p w14:paraId="77B412CF" w14:textId="5BDD0C88" w:rsidR="004D40D0" w:rsidRDefault="00E14BDF" w:rsidP="004D40D0">
      <w:pPr>
        <w:pStyle w:val="Heading3"/>
      </w:pPr>
      <w:bookmarkStart w:id="19" w:name="_Toc2505292"/>
      <w:r>
        <w:lastRenderedPageBreak/>
        <w:t>Primary p</w:t>
      </w:r>
      <w:r w:rsidR="004D40D0">
        <w:t xml:space="preserve">roduction </w:t>
      </w:r>
      <w:r w:rsidR="0087649E">
        <w:t>at the surface</w:t>
      </w:r>
      <w:bookmarkEnd w:id="19"/>
    </w:p>
    <w:p w14:paraId="2F156402" w14:textId="5FF2F328" w:rsidR="0087649E" w:rsidRPr="00D7758E" w:rsidRDefault="004F494B" w:rsidP="00D7758E">
      <w:r>
        <w:t>Primary production (PP)</w:t>
      </w:r>
      <w:r w:rsidR="004D40D0">
        <w:t xml:space="preserve"> in the Southern Ocean is</w:t>
      </w:r>
      <w:r>
        <w:t xml:space="preserve"> principally</w:t>
      </w:r>
      <w:r w:rsidR="004D40D0">
        <w:t xml:space="preserve"> limited by seasonal changes in light and by the availability of iron</w:t>
      </w:r>
      <w:r w:rsidR="00BB24ED">
        <w:t xml:space="preserve"> </w:t>
      </w:r>
      <w:r w:rsidR="00BB24ED">
        <w:fldChar w:fldCharType="begin" w:fldLock="1"/>
      </w:r>
      <w:r w:rsidR="002D710F">
        <w:instrText>ADDIN CSL_CITATION {"citationItems":[{"id":"ITEM-1","itemData":{"DOI":"10.1038/35037500","ISBN":"0028-0836","ISSN":"0028-0836","PMID":"11048709","abstract":"Changes in iron supply to oceanic plankton are thought to have a significant effect on concentrations of atmospheric carbon dioxide by altering rates of carbon sequestration, a theory known as the 'iron hypothesis'. For this reason, it is important to understand the response of pelagic biota to increased iron supply. Here we report the results of a mesoscale iron fertilization experiment in the polar Southern Ocean, where the potential to sequester iron-elevated algal carbon is probably greatest. Increased iron supply led to elevated phytoplankton biomass and rates of photosynthesis in surface waters, causing a large drawdown of carbon dioxide and macronutrients, and elevated dimethyl sulphide levels after 13 days. This drawdown was mostly due to the proliferation of diatom stocks. But downward export of biogenic carbon was not increased. Moreover, satellite observations of this massive bloom 30 days later, suggest that a sufficient proportion of the added iron was retained in surface waters. Our findings demonstrate that iron supply controls phytoplankton growth and community composition during summer in these polar Southern Ocean waters, but the fate of algal carbon remains unknown and depends on the interplay between the processes controlling export, remineralisation and timescales of water mass subduction.","author":[{"dropping-particle":"","family":"Boyd","given":"P W","non-dropping-particle":"","parse-names":false,"suffix":""},{"dropping-particle":"","family":"Watson","given":"A J","non-dropping-particle":"","parse-names":false,"suffix":""},{"dropping-particle":"","family":"Law","given":"C S","non-dropping-particle":"","parse-names":false,"suffix":""},{"dropping-particle":"","family":"Abraham","given":"E R","non-dropping-particle":"","parse-names":false,"suffix":""},{"dropping-particle":"","family":"Trull","given":"T","non-dropping-particle":"","parse-names":false,"suffix":""},{"dropping-particle":"","family":"Murdoch","given":"R","non-dropping-particle":"","parse-names":false,"suffix":""},{"dropping-particle":"","family":"Bakker","given":"D C","non-dropping-particle":"","parse-names":false,"suffix":""},{"dropping-particle":"","family":"Bowie","given":"a R","non-dropping-particle":"","parse-names":false,"suffix":""},{"dropping-particle":"","family":"Buesseler","given":"K O","non-dropping-particle":"","parse-names":false,"suffix":""},{"dropping-particle":"","family":"Chang","given":"H","non-dropping-particle":"","parse-names":false,"suffix":""},{"dropping-particle":"","family":"Charette","given":"M","non-dropping-particle":"","parse-names":false,"suffix":""},{"dropping-particle":"","family":"Croot","given":"P","non-dropping-particle":"","parse-names":false,"suffix":""},{"dropping-particle":"","family":"Downing","given":"K","non-dropping-particle":"","parse-names":false,"suffix":""},{"dropping-particle":"","family":"Frew","given":"R","non-dropping-particle":"","parse-names":false,"suffix":""},{"dropping-particle":"","family":"Gall","given":"M","non-dropping-particle":"","parse-names":false,"suffix":""},{"dropping-particle":"","family":"Hadfield","given":"M","non-dropping-particle":"","parse-names":false,"suffix":""},{"dropping-particle":"","family":"Hall","given":"J","non-dropping-particle":"","parse-names":false,"suffix":""},{"dropping-particle":"","family":"Harvey","given":"M","non-dropping-particle":"","parse-names":false,"suffix":""},{"dropping-particle":"","family":"Jameson","given":"G","non-dropping-particle":"","parse-names":false,"suffix":""},{"dropping-particle":"","family":"LaRoche","given":"J","non-dropping-particle":"","parse-names":false,"suffix":""},{"dropping-particle":"","family":"Liddicoat","given":"M","non-dropping-particle":"","parse-names":false,"suffix":""},{"dropping-particle":"","family":"Ling","given":"R","non-dropping-particle":"","parse-names":false,"suffix":""},{"dropping-particle":"","family":"Maldonado","given":"M T","non-dropping-particle":"","parse-names":false,"suffix":""},{"dropping-particle":"","family":"McKay","given":"R M","non-dropping-particle":"","parse-names":false,"suffix":""},{"dropping-particle":"","family":"Nodder","given":"S","non-dropping-particle":"","parse-names":false,"suffix":""},{"dropping-particle":"","family":"Pickmere","given":"S","non-dropping-particle":"","parse-names":false,"suffix":""},{"dropping-particle":"","family":"Pridmore","given":"R","non-dropping-particle":"","parse-names":false,"suffix":""},{"dropping-particle":"","family":"Rintoul","given":"S","non-dropping-particle":"","parse-names":false,"suffix":""},{"dropping-particle":"","family":"Safi","given":"K","non-dropping-particle":"","parse-names":false,"suffix":""},{"dropping-particle":"","family":"Sutton","given":"P","non-dropping-particle":"","parse-names":false,"suffix":""},{"dropping-particle":"","family":"Strzepek","given":"R","non-dropping-particle":"","parse-names":false,"suffix":""},{"dropping-particle":"","family":"Tanneberger","given":"K","non-dropping-particle":"","parse-names":false,"suffix":""},{"dropping-particle":"","family":"Turner","given":"S","non-dropping-particle":"","parse-names":false,"suffix":""},{"dropping-particle":"","family":"Waite","given":"A","non-dropping-particle":"","parse-names":false,"suffix":""},{"dropping-particle":"","family":"Zeldis","given":"J","non-dropping-particle":"","parse-names":false,"suffix":""}],"container-title":"Nature","id":"ITEM-1","issue":"6805","issued":{"date-parts":[["2000"]]},"page":"695-702","title":"A mesoscale phytoplankton bloom in the polar Southern Ocean stimulated by iron fertilization","type":"article-journal","volume":"407"},"uris":["http://www.mendeley.com/documents/?uuid=ed031b9b-b2ca-4613-a733-6313db79da7c"]}],"mendeley":{"formattedCitation":"(Boyd et al. 2000)","plainTextFormattedCitation":"(Boyd et al. 2000)","previouslyFormattedCitation":"(Boyd et al. 2000)"},"properties":{"noteIndex":0},"schema":"https://github.com/citation-style-language/schema/raw/master/csl-citation.json"}</w:instrText>
      </w:r>
      <w:r w:rsidR="00BB24ED">
        <w:fldChar w:fldCharType="separate"/>
      </w:r>
      <w:r w:rsidR="002D710F" w:rsidRPr="002D710F">
        <w:rPr>
          <w:noProof/>
        </w:rPr>
        <w:t>(Boyd et al. 2000)</w:t>
      </w:r>
      <w:r w:rsidR="00BB24ED">
        <w:fldChar w:fldCharType="end"/>
      </w:r>
      <w:r w:rsidR="004D40D0">
        <w:t xml:space="preserve">. </w:t>
      </w:r>
      <w:r w:rsidR="00BB24ED">
        <w:t xml:space="preserve">Given sufficient nutrients, </w:t>
      </w:r>
      <w:r w:rsidR="004D40D0">
        <w:t>PP is triggered in the spring</w:t>
      </w:r>
      <w:r w:rsidR="00E14BDF">
        <w:t>,</w:t>
      </w:r>
      <w:r w:rsidR="0087649E">
        <w:t xml:space="preserve"> when the polar night ceases and break up of seasonal sea-ice (releasing trapped algae) seeds the annual single-pulse production bloom</w:t>
      </w:r>
      <w:r w:rsidR="00BB24ED">
        <w:t xml:space="preserve">; historically, before whales were culled to near extinction, </w:t>
      </w:r>
      <w:r w:rsidR="00252509">
        <w:t xml:space="preserve">the </w:t>
      </w:r>
      <w:r w:rsidR="00BB24ED">
        <w:t xml:space="preserve">Southern Ocean was replete with iron stores, provided by </w:t>
      </w:r>
      <w:r>
        <w:t>whale defecation (</w:t>
      </w:r>
      <w:r w:rsidR="00252509">
        <w:t>iron-</w:t>
      </w:r>
      <w:r w:rsidR="00BB24ED">
        <w:t>fertilisation</w:t>
      </w:r>
      <w:r>
        <w:t>)</w:t>
      </w:r>
      <w:r w:rsidR="00BB24ED">
        <w:t xml:space="preserve"> at the surface, recycling consumed iron (mainly from krill) into the </w:t>
      </w:r>
      <w:r>
        <w:t xml:space="preserve">pelagic </w:t>
      </w:r>
      <w:r w:rsidR="00BB24ED">
        <w:t>food-web.</w:t>
      </w:r>
      <w:r w:rsidR="0087649E">
        <w:t xml:space="preserve"> Regional transfer of PP through the food chain is somewhat dependent on the </w:t>
      </w:r>
      <w:r w:rsidR="00E14BDF">
        <w:t>ACC</w:t>
      </w:r>
      <w:r w:rsidR="0087649E">
        <w:t xml:space="preserve"> which facilitates transportation of plankton, in a clockwise direction, around the continent. It is likely that the spatial extent of mesopelagic fish habitats changes during the annual production cycle, especially in regions that are completely ice-covered during the polar winter. Interestingly, production in the summer may be a useful proxy for mesopelagic fish biomass during the winter because larval krill</w:t>
      </w:r>
      <w:r w:rsidR="00C3260E">
        <w:t xml:space="preserve"> (potential fish food)</w:t>
      </w:r>
      <w:r w:rsidR="0087649E">
        <w:t xml:space="preserve"> feed on algae rich b</w:t>
      </w:r>
      <w:r w:rsidR="00E14BDF">
        <w:t>r</w:t>
      </w:r>
      <w:r w:rsidR="0087649E">
        <w:t>ine channels under the ice throughout the winter</w:t>
      </w:r>
      <w:r w:rsidR="005A09C6">
        <w:t xml:space="preserve">; this would of course assume that the krill larvae remain in the same location – which </w:t>
      </w:r>
      <w:r w:rsidR="00252509">
        <w:t>is contrary to observation</w:t>
      </w:r>
      <w:r w:rsidR="000A4FF6">
        <w:t xml:space="preserve"> </w:t>
      </w:r>
      <w:r w:rsidR="000A4FF6">
        <w:fldChar w:fldCharType="begin" w:fldLock="1"/>
      </w:r>
      <w:r w:rsidR="002D710F">
        <w:instrText>ADDIN CSL_CITATION {"citationItems":[{"id":"ITEM-1","itemData":{"DOI":"10.1038/s41559-017-0368-3","ISBN":"4155901703683","ISSN":"2397334X","abstract":"A dominant Antarctic ecological paradigm suggests that winter sea ice is generally the main feeding ground for krill larvae. Observations from our winter cruise to the southwest Atlantic sector of the Southern Ocean contradict this view and present the first evidence that the pack-ice zone is a food-poor habitat for larval development. In contrast, the more open marginal ice zone provides a more favourable food environment for high larval krill growth rates. We found that complex under-ice habitats are, however, vital for larval krill when water column productivity is limited by light, by providing structures that offer protection from predators and to collect organic material released from the ice. The larvae feed on this sparse ice-associated food during the day. After sunset, they migrate into the water below the ice (upper 20 m) and drift away from the ice areas where they have previously fed. Model analyses indicate that this behaviour increases both food uptake in a patchy food environment and the likelihood of overwinter transport to areas where feeding conditions are more favourable in spring.","author":[{"dropping-particle":"","family":"Meyer","given":"Bettina","non-dropping-particle":"","parse-names":false,"suffix":""},{"dropping-particle":"","family":"Freier","given":"Ulrich","non-dropping-particle":"","parse-names":false,"suffix":""},{"dropping-particle":"","family":"Grimm","given":"Volker","non-dropping-particle":"","parse-names":false,"suffix":""},{"dropping-particle":"","family":"Groeneveld","given":"Jürgen","non-dropping-particle":"","parse-names":false,"suffix":""},{"dropping-particle":"","family":"Hunt","given":"Brian P.V.","non-dropping-particle":"","parse-names":false,"suffix":""},{"dropping-particle":"","family":"Kerwath","given":"Sven","non-dropping-particle":"","parse-names":false,"suffix":""},{"dropping-particle":"","family":"King","given":"Rob","non-dropping-particle":"","parse-names":false,"suffix":""},{"dropping-particle":"","family":"Klaas","given":"Christine","non-dropping-particle":"","parse-names":false,"suffix":""},{"dropping-particle":"","family":"Pakhomov","given":"Evgeny","non-dropping-particle":"","parse-names":false,"suffix":""},{"dropping-particle":"","family":"Meiners","given":"Klaus M.","non-dropping-particle":"","parse-names":false,"suffix":""},{"dropping-particle":"","family":"Melbourne-Thomas","given":"Jessica","non-dropping-particle":"","parse-names":false,"suffix":""},{"dropping-particle":"","family":"Murphy","given":"Eugene J.","non-dropping-particle":"","parse-names":false,"suffix":""},{"dropping-particle":"","family":"Thorpe","given":"Sally E.","non-dropping-particle":"","parse-names":false,"suffix":""},{"dropping-particle":"","family":"Stammerjohn","given":"Sharon","non-dropping-particle":"","parse-names":false,"suffix":""},{"dropping-particle":"","family":"Wolf-Gladrow","given":"Dieter","non-dropping-particle":"","parse-names":false,"suffix":""},{"dropping-particle":"","family":"Auerswald","given":"Lutz","non-dropping-particle":"","parse-names":false,"suffix":""},{"dropping-particle":"","family":"Götz","given":"Albrecht","non-dropping-particle":"","parse-names":false,"suffix":""},{"dropping-particle":"","family":"Halbach","given":"Laura","non-dropping-particle":"","parse-names":false,"suffix":""},{"dropping-particle":"","family":"Jarman","given":"Simon","non-dropping-particle":"","parse-names":false,"suffix":""},{"dropping-particle":"","family":"Kawaguchi","given":"So","non-dropping-particle":"","parse-names":false,"suffix":""},{"dropping-particle":"","family":"Krumpen","given":"Thomas","non-dropping-particle":"","parse-names":false,"suffix":""},{"dropping-particle":"","family":"Nehrke","given":"Gernot","non-dropping-particle":"","parse-names":false,"suffix":""},{"dropping-particle":"","family":"Ricker","given":"Robert","non-dropping-particle":"","parse-names":false,"suffix":""},{"dropping-particle":"","family":"Sumner","given":"Michael","non-dropping-particle":"","parse-names":false,"suffix":""},{"dropping-particle":"","family":"Teschke","given":"Mathias","non-dropping-particle":"","parse-names":false,"suffix":""},{"dropping-particle":"","family":"Trebilco","given":"Rowan","non-dropping-particle":"","parse-names":false,"suffix":""},{"dropping-particle":"","family":"Yilmaz","given":"Noyan I.","non-dropping-particle":"","parse-names":false,"suffix":""}],"container-title":"Nature Ecology and Evolution","id":"ITEM-1","issue":"12","issued":{"date-parts":[["2017"]]},"page":"1853-1861","title":"The winter pack-ice zone provides a sheltered but food-poor habitat for larval Antarctic krill","type":"article-journal","volume":"1"},"uris":["http://www.mendeley.com/documents/?uuid=5e74c959-d2ec-4da5-862e-f29756e6e339"]}],"mendeley":{"formattedCitation":"(Meyer et al. 2017)","plainTextFormattedCitation":"(Meyer et al. 2017)","previouslyFormattedCitation":"(Meyer et al. 2017)"},"properties":{"noteIndex":0},"schema":"https://github.com/citation-style-language/schema/raw/master/csl-citation.json"}</w:instrText>
      </w:r>
      <w:r w:rsidR="000A4FF6">
        <w:fldChar w:fldCharType="separate"/>
      </w:r>
      <w:r w:rsidR="002D710F" w:rsidRPr="002D710F">
        <w:rPr>
          <w:noProof/>
        </w:rPr>
        <w:t>(Meyer et al. 2017)</w:t>
      </w:r>
      <w:r w:rsidR="000A4FF6">
        <w:fldChar w:fldCharType="end"/>
      </w:r>
      <w:r w:rsidR="005A09C6">
        <w:t>.</w:t>
      </w:r>
    </w:p>
    <w:p w14:paraId="16795CAC" w14:textId="77777777" w:rsidR="00B074D1" w:rsidRDefault="008E2838" w:rsidP="004E7898">
      <w:pPr>
        <w:pStyle w:val="Heading2"/>
      </w:pPr>
      <w:bookmarkStart w:id="20" w:name="_Toc2505293"/>
      <w:r>
        <w:t>Southern Ocean extent</w:t>
      </w:r>
      <w:bookmarkEnd w:id="20"/>
    </w:p>
    <w:p w14:paraId="47345E4E" w14:textId="6AD3B65A" w:rsidR="0087649E" w:rsidRDefault="008D108A" w:rsidP="008E2838">
      <w:r>
        <w:t>The e</w:t>
      </w:r>
      <w:r w:rsidR="00B5228C">
        <w:t>quatorward boundary of the Southern Ocean is normally defined by</w:t>
      </w:r>
      <w:r w:rsidR="00252509">
        <w:t xml:space="preserve"> spatial</w:t>
      </w:r>
      <w:r w:rsidR="004F494B">
        <w:t>ly</w:t>
      </w:r>
      <w:r w:rsidR="00252509">
        <w:t xml:space="preserve"> averaged</w:t>
      </w:r>
      <w:r w:rsidR="00B5228C">
        <w:t xml:space="preserve"> sea-surface temperature</w:t>
      </w:r>
      <w:r w:rsidR="00252509">
        <w:t xml:space="preserve"> </w:t>
      </w:r>
      <w:r w:rsidR="00252509">
        <w:fldChar w:fldCharType="begin" w:fldLock="1"/>
      </w:r>
      <w:r w:rsidR="002D710F">
        <w:instrText>ADDIN CSL_CITATION {"citationItems":[{"id":"ITEM-1","itemData":{"DOI":"10.1016/0967-0637(95)00021-W","ISBN":"0967-0637","ISSN":"09670637","abstract":"Large-scale features of the Antarctic Circumpolar Current (ACC) are described using all historical hydrographic data available from the Southern Ocean. The geopotential anomaly of the sea surface relative to 1000 db reveals the highly-sheared eastward flow of the ACC and the strong steering of the current by the ridge system around Antarctica. The near-surface property distributions differentiate the ACC waters from the warmer and saltier waters of the subtropical regimes. The Subtropical Front (STF), interrupted only by South America, marks the northern most extent of subantarctic waters. Distributions of properties on isopycnal surfaces show an abrupt end to the characteristic signal of the Upper Circumpolar Deep Water (UCDW), as this water mass shoals southward and is entrained into the surface mixed layer. This sharp water mass boundary nearly coincides with the southernmost circumpolar streamline passing through Drake Passage. To its south are the weakly-sheared circulations of the subpolar regime. Inspection of many hydrographic crossings of this transition reveals that the poleward edge of the UCD W signal is a reasonable definition of the southern boundary of the ACC. At Drake Passage, three deep-reaching fronts account for most of the ACC transport. Well-established indicators of the Subantarctic Front and Polar Front are traced unbroken around Antarctica. The third deep-reaching front observed to the south of the Polar Front at Drake Passage also continues with similar characteristics as a circumpolar feature. It is called here the southern ACC front. Stations from multiple synoptic transects of these circumpolar fronts are used to describe the average property structure within each ACC zone. Between the STF and the southern boundary of the ACC, the shear transport of the circumpolar current above 3000 m is at all longitudes about 100 Sv (1 Sv = 106 m3 s-) eastward. ?? 1995.","author":[{"dropping-particle":"","family":"Orsi","given":"Alejandro H.","non-dropping-particle":"","parse-names":false,"suffix":""},{"dropping-particle":"","family":"Whitworth","given":"Thomas","non-dropping-particle":"","parse-names":false,"suffix":""},{"dropping-particle":"","family":"Nowlin","given":"Worth D.","non-dropping-particle":"","parse-names":false,"suffix":""}],"container-title":"Deep-Sea Research Part I","id":"ITEM-1","issue":"5","issued":{"date-parts":[["1995"]]},"page":"641-673","title":"On the meridional extent and fronts of the Antarctic Circumpolar Current","type":"article-journal","volume":"42"},"uris":["http://www.mendeley.com/documents/?uuid=1d0f5aad-6040-49ca-956d-935a18bc5d0f"]}],"mendeley":{"formattedCitation":"(Orsi et al. 1995)","plainTextFormattedCitation":"(Orsi et al. 1995)","previouslyFormattedCitation":"(Orsi et al. 1995)"},"properties":{"noteIndex":0},"schema":"https://github.com/citation-style-language/schema/raw/master/csl-citation.json"}</w:instrText>
      </w:r>
      <w:r w:rsidR="00252509">
        <w:fldChar w:fldCharType="separate"/>
      </w:r>
      <w:r w:rsidR="002D710F" w:rsidRPr="002D710F">
        <w:rPr>
          <w:noProof/>
        </w:rPr>
        <w:t>(Orsi et al. 1995)</w:t>
      </w:r>
      <w:r w:rsidR="00252509">
        <w:fldChar w:fldCharType="end"/>
      </w:r>
      <w:r w:rsidR="00B5228C">
        <w:t>. In some instances, this will correspond to changes in subsurface</w:t>
      </w:r>
      <w:r w:rsidR="004F494B">
        <w:t xml:space="preserve"> temperature</w:t>
      </w:r>
      <w:r w:rsidR="00B5228C">
        <w:t xml:space="preserve">, but not always, and </w:t>
      </w:r>
      <w:proofErr w:type="gramStart"/>
      <w:r w:rsidR="00B5228C">
        <w:t>deep</w:t>
      </w:r>
      <w:r w:rsidR="00447C2C">
        <w:t xml:space="preserve"> </w:t>
      </w:r>
      <w:r w:rsidR="00B5228C">
        <w:t>water</w:t>
      </w:r>
      <w:proofErr w:type="gramEnd"/>
      <w:r w:rsidR="00B5228C">
        <w:t xml:space="preserve"> masses can effectively extend</w:t>
      </w:r>
      <w:r w:rsidR="00C3260E">
        <w:t>/retract</w:t>
      </w:r>
      <w:r w:rsidR="00B5228C">
        <w:t xml:space="preserve"> the Southern Ocean mesopelagic domain </w:t>
      </w:r>
      <w:r w:rsidR="00C3260E">
        <w:t>away from</w:t>
      </w:r>
      <w:r w:rsidR="00B5228C">
        <w:t xml:space="preserve"> the surface boundaries. Here we define a Southern Ocean limit based on the predictor variable (PP x T</w:t>
      </w:r>
      <w:r w:rsidR="00B5228C" w:rsidRPr="00B5228C">
        <w:rPr>
          <w:vertAlign w:val="subscript"/>
        </w:rPr>
        <w:t>PDSL</w:t>
      </w:r>
      <w:r w:rsidR="00B5228C">
        <w:t>) in equation 1</w:t>
      </w:r>
      <w:r w:rsidR="004F494B">
        <w:t>,</w:t>
      </w:r>
      <w:r w:rsidR="00C3260E">
        <w:t xml:space="preserve"> which drive</w:t>
      </w:r>
      <w:r w:rsidR="004F494B">
        <w:t>s</w:t>
      </w:r>
      <w:r w:rsidR="00C3260E">
        <w:t xml:space="preserve"> mesopelagic fish biomass</w:t>
      </w:r>
      <w:r w:rsidR="00252509">
        <w:t xml:space="preserve"> (Figure 3)</w:t>
      </w:r>
      <w:r w:rsidR="00C3260E">
        <w:t>.</w:t>
      </w:r>
    </w:p>
    <w:p w14:paraId="5A700F2B" w14:textId="0174B280" w:rsidR="008E2838" w:rsidRDefault="00447C2C" w:rsidP="008E2838">
      <w:pPr>
        <w:jc w:val="center"/>
      </w:pPr>
      <w:r>
        <w:rPr>
          <w:noProof/>
        </w:rPr>
        <w:lastRenderedPageBreak/>
        <w:drawing>
          <wp:inline distT="0" distB="0" distL="0" distR="0" wp14:anchorId="2EABE5C3" wp14:editId="620DCD71">
            <wp:extent cx="5737860" cy="42519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a:extLst>
                        <a:ext uri="{28A0092B-C50C-407E-A947-70E740481C1C}">
                          <a14:useLocalDpi xmlns:a14="http://schemas.microsoft.com/office/drawing/2010/main" val="0"/>
                        </a:ext>
                      </a:extLst>
                    </a:blip>
                    <a:srcRect t="10420" b="8828"/>
                    <a:stretch/>
                  </pic:blipFill>
                  <pic:spPr bwMode="auto">
                    <a:xfrm>
                      <a:off x="0" y="0"/>
                      <a:ext cx="5737860" cy="4251960"/>
                    </a:xfrm>
                    <a:prstGeom prst="rect">
                      <a:avLst/>
                    </a:prstGeom>
                    <a:noFill/>
                    <a:ln>
                      <a:noFill/>
                    </a:ln>
                    <a:extLst>
                      <a:ext uri="{53640926-AAD7-44D8-BBD7-CCE9431645EC}">
                        <a14:shadowObscured xmlns:a14="http://schemas.microsoft.com/office/drawing/2010/main"/>
                      </a:ext>
                    </a:extLst>
                  </pic:spPr>
                </pic:pic>
              </a:graphicData>
            </a:graphic>
          </wp:inline>
        </w:drawing>
      </w:r>
    </w:p>
    <w:p w14:paraId="31ACDC51" w14:textId="444A9A4A" w:rsidR="00B5228C" w:rsidRDefault="00B5228C" w:rsidP="00B5228C">
      <w:pPr>
        <w:pStyle w:val="Caption2"/>
      </w:pPr>
      <w:bookmarkStart w:id="21" w:name="_Toc2505308"/>
      <w:r>
        <w:t xml:space="preserve">Figure 3 Southern Ocean extent. Colormap is primary production (PP, g C </w:t>
      </w:r>
      <w:r w:rsidR="00C3260E">
        <w:t>m</w:t>
      </w:r>
      <w:r w:rsidR="00C3260E" w:rsidRPr="00C3260E">
        <w:rPr>
          <w:vertAlign w:val="superscript"/>
        </w:rPr>
        <w:t>-2</w:t>
      </w:r>
      <w:r w:rsidR="00C3260E">
        <w:t xml:space="preserve"> </w:t>
      </w:r>
      <w:r>
        <w:t>day</w:t>
      </w:r>
      <w:r w:rsidRPr="00B5228C">
        <w:rPr>
          <w:vertAlign w:val="superscript"/>
        </w:rPr>
        <w:t>-1</w:t>
      </w:r>
      <w:r>
        <w:t xml:space="preserve">) multiplied by temperature at the </w:t>
      </w:r>
      <w:r w:rsidR="00252509">
        <w:t xml:space="preserve">principal </w:t>
      </w:r>
      <w:r w:rsidR="00447C2C">
        <w:t>deep scattering layer</w:t>
      </w:r>
      <w:r>
        <w:t xml:space="preserve"> depth (T</w:t>
      </w:r>
      <w:r w:rsidRPr="00B5228C">
        <w:rPr>
          <w:vertAlign w:val="subscript"/>
        </w:rPr>
        <w:t>PDSL</w:t>
      </w:r>
      <w:r>
        <w:t xml:space="preserve">, </w:t>
      </w:r>
      <w:r>
        <w:rPr>
          <w:rFonts w:cstheme="minorHAnsi"/>
        </w:rPr>
        <w:t>°</w:t>
      </w:r>
      <w:r>
        <w:t xml:space="preserve">C). The </w:t>
      </w:r>
      <w:r w:rsidR="00C3260E">
        <w:t>white</w:t>
      </w:r>
      <w:r>
        <w:t xml:space="preserve"> line indicates the far-extent of winter sea-ice and the </w:t>
      </w:r>
      <w:r w:rsidR="00C3260E">
        <w:t>black</w:t>
      </w:r>
      <w:r>
        <w:t xml:space="preserve"> line marks the extent of the Southern Ocean mesopelagic boundary.</w:t>
      </w:r>
      <w:r w:rsidR="00D0386F">
        <w:t xml:space="preserve"> </w:t>
      </w:r>
      <w:r w:rsidR="00E14BDF">
        <w:t>Light blue shading indicates minimum sea-ice coverage. Ross Sea and South Orkney Islands Southern shelf MPAs indicated by magenta outline.</w:t>
      </w:r>
      <w:bookmarkEnd w:id="21"/>
    </w:p>
    <w:p w14:paraId="51DD1A7F" w14:textId="438AC92A" w:rsidR="00252509" w:rsidRPr="00E051D9" w:rsidRDefault="00B5228C" w:rsidP="00BC5510">
      <w:pPr>
        <w:pStyle w:val="BodyText"/>
        <w:ind w:right="-27"/>
      </w:pPr>
      <w:r>
        <w:t>A threshold of 1</w:t>
      </w:r>
      <w:r w:rsidR="00C3260E">
        <w:t>.5</w:t>
      </w:r>
      <w:r>
        <w:t xml:space="preserve"> g C</w:t>
      </w:r>
      <w:r w:rsidR="00C3260E">
        <w:t xml:space="preserve"> m</w:t>
      </w:r>
      <w:r w:rsidR="00C3260E" w:rsidRPr="00C3260E">
        <w:rPr>
          <w:vertAlign w:val="superscript"/>
        </w:rPr>
        <w:t>-2</w:t>
      </w:r>
      <w:r>
        <w:t xml:space="preserve"> day</w:t>
      </w:r>
      <w:r w:rsidRPr="00D0386F">
        <w:rPr>
          <w:vertAlign w:val="superscript"/>
        </w:rPr>
        <w:t>-1</w:t>
      </w:r>
      <w:r>
        <w:t xml:space="preserve"> </w:t>
      </w:r>
      <w:r>
        <w:rPr>
          <w:rFonts w:cstheme="minorHAnsi"/>
        </w:rPr>
        <w:t>°</w:t>
      </w:r>
      <w:r>
        <w:t xml:space="preserve">C was set for </w:t>
      </w:r>
      <w:proofErr w:type="spellStart"/>
      <w:r>
        <w:t>PPxT</w:t>
      </w:r>
      <w:r w:rsidRPr="00D0386F">
        <w:rPr>
          <w:vertAlign w:val="subscript"/>
        </w:rPr>
        <w:t>PDSL</w:t>
      </w:r>
      <w:proofErr w:type="spellEnd"/>
      <w:r>
        <w:t xml:space="preserve"> as this</w:t>
      </w:r>
      <w:r w:rsidR="005A09C6">
        <w:t xml:space="preserve"> provided a spatial limit</w:t>
      </w:r>
      <w:r>
        <w:t xml:space="preserve"> </w:t>
      </w:r>
      <w:r w:rsidR="005A09C6">
        <w:t xml:space="preserve">which </w:t>
      </w:r>
      <w:r w:rsidR="00252509">
        <w:t>encompassed</w:t>
      </w:r>
      <w:r>
        <w:t xml:space="preserve"> key subantarctic </w:t>
      </w:r>
      <w:r w:rsidR="00D0386F">
        <w:t>islands</w:t>
      </w:r>
      <w:r>
        <w:t xml:space="preserve"> e.g. Kerguelen and South Georgia</w:t>
      </w:r>
      <w:r w:rsidR="00C3260E">
        <w:t xml:space="preserve"> that are hotspots for krill production (an important food-source for mesopelagic fish)</w:t>
      </w:r>
      <w:r w:rsidR="00D0386F">
        <w:t xml:space="preserve"> and the maximum winter sea-ice extent, whilst excluding the much warmer subtropical frontal regions</w:t>
      </w:r>
      <w:r w:rsidR="00C3260E">
        <w:t xml:space="preserve"> that are likely consistent of more ‘tropicalised’ fish </w:t>
      </w:r>
      <w:r w:rsidR="004F494B">
        <w:t>populations</w:t>
      </w:r>
      <w:r w:rsidR="00D0386F">
        <w:t>.</w:t>
      </w:r>
    </w:p>
    <w:p w14:paraId="59C1210A" w14:textId="62C90103" w:rsidR="006729D1" w:rsidRDefault="008E2838" w:rsidP="006729D1">
      <w:pPr>
        <w:pStyle w:val="Heading1"/>
      </w:pPr>
      <w:bookmarkStart w:id="22" w:name="_Toc2505294"/>
      <w:r>
        <w:t xml:space="preserve">Modelisation of </w:t>
      </w:r>
      <w:r w:rsidR="0031568E">
        <w:t>mesopelagic fish habitats</w:t>
      </w:r>
      <w:bookmarkEnd w:id="22"/>
    </w:p>
    <w:p w14:paraId="308DEB20" w14:textId="17B4E463" w:rsidR="0052777A" w:rsidRDefault="00E143A7" w:rsidP="00D0386F">
      <w:r>
        <w:t>W</w:t>
      </w:r>
      <w:r w:rsidR="00190ED5">
        <w:t>e follow the approach of Proud et al</w:t>
      </w:r>
      <w:r>
        <w:t>.’s</w:t>
      </w:r>
      <w:r w:rsidR="00190ED5">
        <w:t xml:space="preserve"> (2017)</w:t>
      </w:r>
      <w:r>
        <w:t xml:space="preserve"> global mesopelagic biogeography, but instead of considering the entire global ocean, we confine our bioregionalization to the Southern Ocean, bounded equatorward by a substantial change in </w:t>
      </w:r>
      <w:proofErr w:type="spellStart"/>
      <w:r>
        <w:t>PP</w:t>
      </w:r>
      <w:r w:rsidR="000535A4">
        <w:t>x</w:t>
      </w:r>
      <w:r>
        <w:t>T</w:t>
      </w:r>
      <w:r w:rsidRPr="00E143A7">
        <w:rPr>
          <w:vertAlign w:val="subscript"/>
        </w:rPr>
        <w:t>PDSL</w:t>
      </w:r>
      <w:proofErr w:type="spellEnd"/>
      <w:r>
        <w:t xml:space="preserve"> (see </w:t>
      </w:r>
      <w:r w:rsidR="000535A4">
        <w:t xml:space="preserve">Section 2.3 and </w:t>
      </w:r>
      <w:r>
        <w:t>Figure 3)</w:t>
      </w:r>
      <w:r w:rsidR="0052777A">
        <w:t>.</w:t>
      </w:r>
      <w:r w:rsidR="00190ED5">
        <w:t xml:space="preserve"> </w:t>
      </w:r>
      <w:r w:rsidR="003A6ED9">
        <w:t xml:space="preserve">We </w:t>
      </w:r>
      <w:r>
        <w:t xml:space="preserve">only consider areas where the seabed depth is greater than 1000 m (i.e. off-shelf) and </w:t>
      </w:r>
      <w:r w:rsidR="003A6ED9">
        <w:t xml:space="preserve">assume that the majority of </w:t>
      </w:r>
      <w:r>
        <w:t xml:space="preserve">38 kHz </w:t>
      </w:r>
      <w:r w:rsidR="003A6ED9">
        <w:t>DSL backscatter</w:t>
      </w:r>
      <w:r w:rsidR="00447C2C">
        <w:t xml:space="preserve"> (which equation 1 is based on)</w:t>
      </w:r>
      <w:r w:rsidR="003A6ED9">
        <w:t xml:space="preserve"> </w:t>
      </w:r>
      <w:r w:rsidR="00BF5A17">
        <w:t xml:space="preserve">in the Southern Ocean </w:t>
      </w:r>
      <w:r w:rsidR="003A6ED9">
        <w:t>is produced by fish</w:t>
      </w:r>
      <w:r>
        <w:t xml:space="preserve"> with gas-filled swimbladders.</w:t>
      </w:r>
      <w:r w:rsidR="003A6ED9">
        <w:t xml:space="preserve"> </w:t>
      </w:r>
      <w:r>
        <w:t>We</w:t>
      </w:r>
      <w:r w:rsidR="003A6ED9">
        <w:t xml:space="preserve"> infer that </w:t>
      </w:r>
      <w:r>
        <w:t xml:space="preserve">a </w:t>
      </w:r>
      <w:r w:rsidR="003A6ED9">
        <w:t xml:space="preserve">biogeographic </w:t>
      </w:r>
      <w:r w:rsidR="00BF5A17">
        <w:t xml:space="preserve">partitioning based on </w:t>
      </w:r>
      <w:r w:rsidR="004F494B">
        <w:t xml:space="preserve">predicted </w:t>
      </w:r>
      <w:r w:rsidR="00BF5A17">
        <w:t>DSL echo intensity</w:t>
      </w:r>
      <w:r w:rsidR="004F494B">
        <w:t xml:space="preserve"> (Equation 1)</w:t>
      </w:r>
      <w:r w:rsidR="00BF5A17">
        <w:t xml:space="preserve"> is an appropriate proxy for </w:t>
      </w:r>
      <w:r>
        <w:t xml:space="preserve">biomass-based </w:t>
      </w:r>
      <w:r w:rsidR="00BF5A17">
        <w:t>mesopelagic fish habitats.</w:t>
      </w:r>
    </w:p>
    <w:p w14:paraId="7805B2D1" w14:textId="17BDB231" w:rsidR="0052777A" w:rsidRDefault="000535A4" w:rsidP="0052777A">
      <w:pPr>
        <w:pStyle w:val="Heading2"/>
      </w:pPr>
      <w:bookmarkStart w:id="23" w:name="_Toc2505295"/>
      <w:r>
        <w:lastRenderedPageBreak/>
        <w:t>Mesopelagic fish classes and habitats</w:t>
      </w:r>
      <w:bookmarkEnd w:id="23"/>
    </w:p>
    <w:p w14:paraId="417D3684" w14:textId="2818963C" w:rsidR="003A6ED9" w:rsidRDefault="003A6ED9" w:rsidP="00D0386F">
      <w:r>
        <w:t xml:space="preserve">The method used here is given in detail in the supplemental information of Proud et al. (2017). </w:t>
      </w:r>
      <w:r w:rsidR="0052777A">
        <w:t>G</w:t>
      </w:r>
      <w:r w:rsidR="00190ED5">
        <w:t>ridded</w:t>
      </w:r>
      <w:r w:rsidR="0052777A">
        <w:t xml:space="preserve"> (300 km by 300 km cells)</w:t>
      </w:r>
      <w:r w:rsidR="00190ED5">
        <w:t xml:space="preserve"> values of PP</w:t>
      </w:r>
      <w:r w:rsidR="0052777A">
        <w:t xml:space="preserve"> (</w:t>
      </w:r>
      <w:r w:rsidR="0052777A" w:rsidRPr="0052777A">
        <w:t>data from http://www.science.oregonstate.edu/ocean.productivity/index.php</w:t>
      </w:r>
      <w:r w:rsidR="0052777A">
        <w:t>),</w:t>
      </w:r>
      <w:r w:rsidR="00190ED5">
        <w:t xml:space="preserve"> and </w:t>
      </w:r>
      <w:r w:rsidR="0052777A">
        <w:rPr>
          <w:rFonts w:cstheme="minorHAnsi"/>
        </w:rPr>
        <w:t xml:space="preserve">τ (data from SODA v3.3.1; </w:t>
      </w:r>
      <w:r w:rsidR="0052777A">
        <w:rPr>
          <w:rFonts w:cstheme="minorHAnsi"/>
        </w:rPr>
        <w:fldChar w:fldCharType="begin" w:fldLock="1"/>
      </w:r>
      <w:r w:rsidR="002D710F">
        <w:rPr>
          <w:rFonts w:cstheme="minorHAnsi"/>
        </w:rPr>
        <w:instrText>ADDIN CSL_CITATION {"citationItems":[{"id":"ITEM-1","itemData":{"author":[{"dropping-particle":"","family":"Carton","given":"J.A.","non-dropping-particle":"","parse-names":false,"suffix":""},{"dropping-particle":"","family":"Chepurin","given":"G.A.","non-dropping-particle":"","parse-names":false,"suffix":""},{"dropping-particle":"","family":"Chen","given":"L","non-dropping-particle":"","parse-names":false,"suffix":""}],"container-title":"manuscript in preparation","id":"ITEM-1","issued":{"date-parts":[["2017"]]},"title":"An updated reanalysis of ocean climate using the Simple Ocean Data Assimilation version 3 (SODA3)","type":"article-journal"},"uris":["http://www.mendeley.com/documents/?uuid=59d01154-cd32-4266-8123-b8e01cf63400"]}],"mendeley":{"formattedCitation":"(Carton et al. 2017)","manualFormatting":"Carton et al. 2017)","plainTextFormattedCitation":"(Carton et al. 2017)","previouslyFormattedCitation":"(Carton et al. 2017)"},"properties":{"noteIndex":0},"schema":"https://github.com/citation-style-language/schema/raw/master/csl-citation.json"}</w:instrText>
      </w:r>
      <w:r w:rsidR="0052777A">
        <w:rPr>
          <w:rFonts w:cstheme="minorHAnsi"/>
        </w:rPr>
        <w:fldChar w:fldCharType="separate"/>
      </w:r>
      <w:r w:rsidR="0052777A" w:rsidRPr="0052777A">
        <w:rPr>
          <w:rFonts w:cstheme="minorHAnsi"/>
          <w:noProof/>
        </w:rPr>
        <w:t>Carton et al. 2017)</w:t>
      </w:r>
      <w:r w:rsidR="0052777A">
        <w:rPr>
          <w:rFonts w:cstheme="minorHAnsi"/>
        </w:rPr>
        <w:fldChar w:fldCharType="end"/>
      </w:r>
      <w:r w:rsidR="00190ED5">
        <w:t xml:space="preserve"> </w:t>
      </w:r>
      <w:r w:rsidR="0052777A">
        <w:t>averaged between 2005 and 2015 over the S</w:t>
      </w:r>
      <w:r>
        <w:t>o</w:t>
      </w:r>
      <w:r w:rsidR="0052777A">
        <w:t>ut</w:t>
      </w:r>
      <w:r>
        <w:t>hern</w:t>
      </w:r>
      <w:r w:rsidR="0052777A">
        <w:t xml:space="preserve"> Ocean domain (Figure 3) were used to predict T</w:t>
      </w:r>
      <w:r w:rsidR="0052777A" w:rsidRPr="0052777A">
        <w:rPr>
          <w:vertAlign w:val="subscript"/>
        </w:rPr>
        <w:t>PDSL</w:t>
      </w:r>
      <w:r w:rsidR="0052777A">
        <w:t xml:space="preserve"> (Equation 2). </w:t>
      </w:r>
      <w:r w:rsidR="000535A4">
        <w:t>Gridded values of the</w:t>
      </w:r>
      <w:r>
        <w:t xml:space="preserve"> predictor variables of DSL backscatter</w:t>
      </w:r>
      <w:r w:rsidR="000535A4">
        <w:t>,</w:t>
      </w:r>
      <w:r>
        <w:t xml:space="preserve"> </w:t>
      </w:r>
      <w:r w:rsidR="0052777A">
        <w:t>PP and T</w:t>
      </w:r>
      <w:r w:rsidR="0052777A" w:rsidRPr="0052777A">
        <w:rPr>
          <w:vertAlign w:val="subscript"/>
        </w:rPr>
        <w:t>PDSL</w:t>
      </w:r>
      <w:r w:rsidR="0052777A">
        <w:t xml:space="preserve"> </w:t>
      </w:r>
      <w:r>
        <w:t>(see Equation 1)</w:t>
      </w:r>
      <w:r w:rsidR="000535A4">
        <w:t>,</w:t>
      </w:r>
      <w:r>
        <w:t xml:space="preserve"> </w:t>
      </w:r>
      <w:r w:rsidR="0052777A">
        <w:t xml:space="preserve">were then </w:t>
      </w:r>
      <w:r w:rsidR="00190ED5">
        <w:t>clustered together</w:t>
      </w:r>
      <w:r>
        <w:t xml:space="preserve"> </w:t>
      </w:r>
      <w:r w:rsidR="00190ED5">
        <w:t xml:space="preserve">over a range of </w:t>
      </w:r>
      <w:r w:rsidR="00447C2C">
        <w:t xml:space="preserve">spatial </w:t>
      </w:r>
      <w:r w:rsidR="00190ED5">
        <w:t xml:space="preserve">scales (i.e. </w:t>
      </w:r>
      <w:r w:rsidR="00963A28">
        <w:t>a range of cluster frequencies</w:t>
      </w:r>
      <w:r>
        <w:t xml:space="preserve"> between 2 and 30</w:t>
      </w:r>
      <w:r w:rsidR="00190ED5">
        <w:t xml:space="preserve">) </w:t>
      </w:r>
      <w:r w:rsidR="0052777A">
        <w:t xml:space="preserve">using the k-means clustering algorithm </w:t>
      </w:r>
      <w:r>
        <w:fldChar w:fldCharType="begin" w:fldLock="1"/>
      </w:r>
      <w:r w:rsidR="002D710F">
        <w:instrText>ADDIN CSL_CITATION {"citationItems":[{"id":"ITEM-1","itemData":{"DOI":"10.2307/2346830","ISBN":"00359254","ISSN":"00359254","PMID":"8705250","abstract":"The K-means clustering algorithm is described indetail by Hartigan(1975). An efficient version of the algorithm is presented here.\\nThe aim of the K-means algorithm is to divide M points in N dimensions into K clusters so that the within-cluster sum of squares is minimized. It is not practical to require that the solution has minimal sum of squares against all partitions except when M,N are small and K = 2. We seek instead \"local\" optima, solution such that no movement of a point from one cluster to another will reduce the within cluster sum of squares.","author":[{"dropping-particle":"","family":"Hartigan","given":"J. A.","non-dropping-particle":"","parse-names":false,"suffix":""},{"dropping-particle":"","family":"Wong","given":"M. A.","non-dropping-particle":"","parse-names":false,"suffix":""}],"container-title":"Applied Statistics","id":"ITEM-1","issue":"1","issued":{"date-parts":[["1979"]]},"page":"100-108","title":"A K-Means Clustering Algorithm","type":"article-journal","volume":"28"},"uris":["http://www.mendeley.com/documents/?uuid=edf82d1f-2c5e-407a-9266-98c8a2b88310"]}],"mendeley":{"formattedCitation":"(Hartigan &amp; Wong 1979)","plainTextFormattedCitation":"(Hartigan &amp; Wong 1979)","previouslyFormattedCitation":"(Hartigan &amp; Wong 1979)"},"properties":{"noteIndex":0},"schema":"https://github.com/citation-style-language/schema/raw/master/csl-citation.json"}</w:instrText>
      </w:r>
      <w:r>
        <w:fldChar w:fldCharType="separate"/>
      </w:r>
      <w:r w:rsidR="002D710F" w:rsidRPr="002D710F">
        <w:rPr>
          <w:noProof/>
        </w:rPr>
        <w:t>(Hartigan &amp; Wong 1979)</w:t>
      </w:r>
      <w:r>
        <w:fldChar w:fldCharType="end"/>
      </w:r>
      <w:r>
        <w:t xml:space="preserve"> </w:t>
      </w:r>
      <w:r w:rsidR="00447C2C">
        <w:t>resulting in a number of</w:t>
      </w:r>
      <w:r w:rsidR="00190ED5">
        <w:t xml:space="preserve"> distinct </w:t>
      </w:r>
      <w:r w:rsidR="008816D8">
        <w:t>mesopelagic fish</w:t>
      </w:r>
      <w:r w:rsidR="00190ED5">
        <w:t xml:space="preserve"> classes.</w:t>
      </w:r>
      <w:r w:rsidR="008816D8">
        <w:t xml:space="preserve"> The classes were </w:t>
      </w:r>
      <w:r w:rsidR="000535A4">
        <w:t>ranked</w:t>
      </w:r>
      <w:r w:rsidR="008816D8">
        <w:t xml:space="preserve"> in order by their </w:t>
      </w:r>
      <w:r w:rsidR="000535A4">
        <w:t xml:space="preserve">predicted </w:t>
      </w:r>
      <w:r w:rsidR="008816D8">
        <w:t>values of DSL echo intensity</w:t>
      </w:r>
      <w:r w:rsidR="000535A4">
        <w:t xml:space="preserve"> (</w:t>
      </w:r>
      <w:r w:rsidR="008816D8">
        <w:t>Equation 1</w:t>
      </w:r>
      <w:r w:rsidR="000535A4">
        <w:t>)</w:t>
      </w:r>
      <w:r w:rsidR="008816D8">
        <w:t xml:space="preserve"> from low to high</w:t>
      </w:r>
      <w:r w:rsidR="004F494B">
        <w:t xml:space="preserve"> backscatter</w:t>
      </w:r>
      <w:r w:rsidR="00447C2C">
        <w:t>ing intensity</w:t>
      </w:r>
      <w:r w:rsidR="008816D8">
        <w:t xml:space="preserve">. Model classes often did not just occupy a single area and were </w:t>
      </w:r>
      <w:r w:rsidR="005A09C6">
        <w:t>arranged in a number of</w:t>
      </w:r>
      <w:r w:rsidR="008816D8">
        <w:t xml:space="preserve"> spatially</w:t>
      </w:r>
      <w:r w:rsidR="00004F84">
        <w:t>-</w:t>
      </w:r>
      <w:r w:rsidR="008816D8">
        <w:t xml:space="preserve">distinct </w:t>
      </w:r>
      <w:r w:rsidR="000535A4">
        <w:t>mesopelagic fish habitats</w:t>
      </w:r>
      <w:r w:rsidR="008816D8">
        <w:t>.</w:t>
      </w:r>
    </w:p>
    <w:p w14:paraId="4336B894" w14:textId="29BB3F20" w:rsidR="006729D1" w:rsidRDefault="005158DD" w:rsidP="006729D1">
      <w:pPr>
        <w:pStyle w:val="Heading2"/>
      </w:pPr>
      <w:bookmarkStart w:id="24" w:name="_Toc2505296"/>
      <w:r>
        <w:t>Model selection</w:t>
      </w:r>
      <w:bookmarkEnd w:id="24"/>
    </w:p>
    <w:p w14:paraId="5DDF0E11" w14:textId="3EE53816" w:rsidR="008E2838" w:rsidRDefault="00963A28" w:rsidP="008E2838">
      <w:r>
        <w:t xml:space="preserve">For each </w:t>
      </w:r>
      <w:r w:rsidR="003A6ED9">
        <w:t xml:space="preserve">model, defined by a </w:t>
      </w:r>
      <w:r>
        <w:t>cluster frequency</w:t>
      </w:r>
      <w:r w:rsidR="000535A4">
        <w:t>,</w:t>
      </w:r>
      <w:r>
        <w:t xml:space="preserve"> </w:t>
      </w:r>
      <w:r w:rsidR="004F494B">
        <w:t>k</w:t>
      </w:r>
      <w:r w:rsidR="000535A4">
        <w:t>, and a set of centroids, each with a representative PP and T</w:t>
      </w:r>
      <w:r w:rsidR="000535A4" w:rsidRPr="000535A4">
        <w:rPr>
          <w:vertAlign w:val="subscript"/>
        </w:rPr>
        <w:t>PDSL</w:t>
      </w:r>
      <w:r w:rsidR="000535A4">
        <w:t xml:space="preserve"> value</w:t>
      </w:r>
      <w:r>
        <w:t xml:space="preserve">, a </w:t>
      </w:r>
      <w:r w:rsidR="000535A4" w:rsidRPr="000535A4">
        <w:t xml:space="preserve">Bayesian information criterion </w:t>
      </w:r>
      <w:r w:rsidR="000535A4">
        <w:t>(</w:t>
      </w:r>
      <w:r>
        <w:t>BIC</w:t>
      </w:r>
      <w:r w:rsidR="000535A4">
        <w:t>)</w:t>
      </w:r>
      <w:r>
        <w:t xml:space="preserve"> value was calculated</w:t>
      </w:r>
      <w:r w:rsidR="003A6ED9">
        <w:t xml:space="preserve"> to perform model assessment</w:t>
      </w:r>
      <w:r>
        <w:t xml:space="preserve">. </w:t>
      </w:r>
      <w:r w:rsidR="003A6ED9">
        <w:t xml:space="preserve">Minima in </w:t>
      </w:r>
      <w:r w:rsidR="003A6ED9">
        <w:rPr>
          <w:rFonts w:cstheme="minorHAnsi"/>
        </w:rPr>
        <w:t>Δ</w:t>
      </w:r>
      <w:r>
        <w:t xml:space="preserve">BIC values </w:t>
      </w:r>
      <w:r w:rsidR="003A6ED9">
        <w:t xml:space="preserve">indicated a better than average fit of the data (i.e. a more natural arrangement) and were used to select </w:t>
      </w:r>
      <w:proofErr w:type="gramStart"/>
      <w:r w:rsidR="003A6ED9">
        <w:t>a number of</w:t>
      </w:r>
      <w:proofErr w:type="gramEnd"/>
      <w:r w:rsidR="003A6ED9">
        <w:t xml:space="preserve"> optimum cluster frequencies (Figure 4). </w:t>
      </w:r>
      <w:r w:rsidR="00BF5A17">
        <w:t>These cluster frequencies</w:t>
      </w:r>
      <w:r w:rsidR="003A6ED9">
        <w:t xml:space="preserve"> demarked </w:t>
      </w:r>
      <w:r w:rsidR="000535A4">
        <w:t xml:space="preserve">optimum </w:t>
      </w:r>
      <w:r w:rsidR="003A6ED9">
        <w:t>habitat partition</w:t>
      </w:r>
      <w:r w:rsidR="000535A4">
        <w:t>s</w:t>
      </w:r>
      <w:r w:rsidR="003A6ED9">
        <w:t xml:space="preserve"> over a range of scales from coarse-scale </w:t>
      </w:r>
      <w:r w:rsidR="000535A4">
        <w:t>models</w:t>
      </w:r>
      <w:r w:rsidR="003A6ED9">
        <w:t xml:space="preserve"> (</w:t>
      </w:r>
      <w:r w:rsidR="000535A4">
        <w:t>four</w:t>
      </w:r>
      <w:r w:rsidR="005A09C6">
        <w:t xml:space="preserve"> </w:t>
      </w:r>
      <w:r w:rsidR="000535A4">
        <w:t xml:space="preserve">mesopelagic fish </w:t>
      </w:r>
      <w:r w:rsidR="005A09C6">
        <w:t xml:space="preserve">classes; see </w:t>
      </w:r>
      <w:r w:rsidR="003A6ED9">
        <w:t>Figure 4) to fine</w:t>
      </w:r>
      <w:r w:rsidR="000535A4">
        <w:t>r</w:t>
      </w:r>
      <w:r w:rsidR="003A6ED9">
        <w:t xml:space="preserve">-scale </w:t>
      </w:r>
      <w:r w:rsidR="000535A4">
        <w:t>models</w:t>
      </w:r>
      <w:r w:rsidR="003A6ED9">
        <w:t xml:space="preserve"> </w:t>
      </w:r>
      <w:r w:rsidR="005A09C6">
        <w:t>(</w:t>
      </w:r>
      <w:r w:rsidR="000535A4">
        <w:t xml:space="preserve">twenty-three mesopelagic fish </w:t>
      </w:r>
      <w:r w:rsidR="003A6ED9">
        <w:t>classes</w:t>
      </w:r>
      <w:r w:rsidR="005A09C6">
        <w:t xml:space="preserve">; see </w:t>
      </w:r>
      <w:r w:rsidR="003A6ED9">
        <w:t>Figure 5).</w:t>
      </w:r>
    </w:p>
    <w:p w14:paraId="0C21D88D" w14:textId="19B31A3C" w:rsidR="008E2838" w:rsidRDefault="008E2838" w:rsidP="008E2838">
      <w:r w:rsidRPr="008E2838">
        <w:rPr>
          <w:noProof/>
        </w:rPr>
        <w:lastRenderedPageBreak/>
        <w:drawing>
          <wp:inline distT="0" distB="0" distL="0" distR="0" wp14:anchorId="070228BF" wp14:editId="34E76E86">
            <wp:extent cx="5743575" cy="4350385"/>
            <wp:effectExtent l="0" t="0" r="9525" b="0"/>
            <wp:docPr id="8" name="Picture 3">
              <a:extLst xmlns:a="http://schemas.openxmlformats.org/drawingml/2006/main">
                <a:ext uri="{FF2B5EF4-FFF2-40B4-BE49-F238E27FC236}">
                  <a16:creationId xmlns:a16="http://schemas.microsoft.com/office/drawing/2014/main" id="{80839E1D-22AF-4804-9C6B-126D255AA3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0839E1D-22AF-4804-9C6B-126D255AA368}"/>
                        </a:ext>
                      </a:extLst>
                    </pic:cNvPr>
                    <pic:cNvPicPr>
                      <a:picLocks noChangeAspect="1"/>
                    </pic:cNvPicPr>
                  </pic:nvPicPr>
                  <pic:blipFill rotWithShape="1">
                    <a:blip r:embed="rId24" cstate="print">
                      <a:extLst>
                        <a:ext uri="{28A0092B-C50C-407E-A947-70E740481C1C}">
                          <a14:useLocalDpi xmlns:a14="http://schemas.microsoft.com/office/drawing/2010/main" val="0"/>
                        </a:ext>
                      </a:extLst>
                    </a:blip>
                    <a:srcRect t="6563" r="7470"/>
                    <a:stretch/>
                  </pic:blipFill>
                  <pic:spPr>
                    <a:xfrm>
                      <a:off x="0" y="0"/>
                      <a:ext cx="5743575" cy="4350385"/>
                    </a:xfrm>
                    <a:prstGeom prst="rect">
                      <a:avLst/>
                    </a:prstGeom>
                  </pic:spPr>
                </pic:pic>
              </a:graphicData>
            </a:graphic>
          </wp:inline>
        </w:drawing>
      </w:r>
    </w:p>
    <w:p w14:paraId="610C76BD" w14:textId="79EE9F8D" w:rsidR="006151C4" w:rsidRDefault="006151C4" w:rsidP="006151C4">
      <w:pPr>
        <w:pStyle w:val="Caption2"/>
      </w:pPr>
      <w:bookmarkStart w:id="25" w:name="_Toc2505309"/>
      <w:r>
        <w:t>Figure 4 Model selection</w:t>
      </w:r>
      <w:r w:rsidR="00004F84">
        <w:t xml:space="preserve"> for k-means clustering of gridded values of primary production and temperature at the depth of the principal deep scattering layer (T</w:t>
      </w:r>
      <w:r w:rsidR="00004F84" w:rsidRPr="00004F84">
        <w:rPr>
          <w:vertAlign w:val="subscript"/>
        </w:rPr>
        <w:t>PDSL</w:t>
      </w:r>
      <w:r w:rsidR="00004F84">
        <w:t>)</w:t>
      </w:r>
      <w:r>
        <w:t xml:space="preserve">. </w:t>
      </w:r>
      <w:r w:rsidR="000535A4">
        <w:t>Number of clusters represent</w:t>
      </w:r>
      <w:r w:rsidR="00004F84">
        <w:t>s</w:t>
      </w:r>
      <w:r w:rsidR="000535A4">
        <w:t xml:space="preserve"> number of mesopelagic fish classes. Each class is then further broken up into spatially-distinct mesopelagic fish habitats. Optimum cluster/class frequencies </w:t>
      </w:r>
      <w:r>
        <w:t>were selected</w:t>
      </w:r>
      <w:r w:rsidR="000535A4">
        <w:t xml:space="preserve"> (red points)</w:t>
      </w:r>
      <w:r>
        <w:t xml:space="preserve"> where the change in the BIC reached a minimum, </w:t>
      </w:r>
      <w:r w:rsidR="000535A4">
        <w:t>indicating</w:t>
      </w:r>
      <w:r>
        <w:t xml:space="preserve"> a </w:t>
      </w:r>
      <w:r w:rsidR="000535A4">
        <w:t>bet</w:t>
      </w:r>
      <w:r w:rsidR="00004F84">
        <w:t>ter</w:t>
      </w:r>
      <w:r w:rsidR="000535A4">
        <w:t xml:space="preserve"> than average fit of the underlying data</w:t>
      </w:r>
      <w:r w:rsidR="00004F84">
        <w:t xml:space="preserve"> into the cluster arrangement</w:t>
      </w:r>
      <w:r w:rsidR="000535A4">
        <w:t>.</w:t>
      </w:r>
      <w:bookmarkEnd w:id="25"/>
    </w:p>
    <w:p w14:paraId="51F10D21" w14:textId="4540777C" w:rsidR="0007703D" w:rsidRDefault="008E2838" w:rsidP="00D7758E">
      <w:pPr>
        <w:pStyle w:val="Heading3"/>
      </w:pPr>
      <w:bookmarkStart w:id="26" w:name="_Toc2505297"/>
      <w:r>
        <w:t>Large-scale partitioning</w:t>
      </w:r>
      <w:bookmarkEnd w:id="26"/>
    </w:p>
    <w:p w14:paraId="55349A26" w14:textId="7530D029" w:rsidR="00BF5A17" w:rsidRPr="00BF5A17" w:rsidRDefault="00BF5A17" w:rsidP="00BF5A17">
      <w:r>
        <w:t xml:space="preserve">The </w:t>
      </w:r>
      <w:r w:rsidR="005A09C6">
        <w:t xml:space="preserve">four-class mesopelagic fish </w:t>
      </w:r>
      <w:r>
        <w:t xml:space="preserve">habitat model </w:t>
      </w:r>
      <w:r w:rsidR="00004F84">
        <w:t>was</w:t>
      </w:r>
      <w:r w:rsidR="005A09C6">
        <w:t xml:space="preserve"> the </w:t>
      </w:r>
      <w:r w:rsidR="00004F84">
        <w:t>optimum model with the fewest classes and habitats</w:t>
      </w:r>
      <w:r>
        <w:t xml:space="preserve"> (Figure 5) </w:t>
      </w:r>
      <w:r w:rsidR="005A09C6">
        <w:t>and resembled</w:t>
      </w:r>
      <w:r>
        <w:t xml:space="preserve"> </w:t>
      </w:r>
      <w:r w:rsidR="00004F84">
        <w:t>Proud et al.’s (2017)</w:t>
      </w:r>
      <w:r>
        <w:t xml:space="preserve"> global mesopelagic partitioning of the Southern Ocean (Figure 1). </w:t>
      </w:r>
      <w:r w:rsidR="00004F84">
        <w:t>In this model, class b</w:t>
      </w:r>
      <w:r>
        <w:t xml:space="preserve">oundaries between </w:t>
      </w:r>
      <w:r w:rsidR="00004F84">
        <w:t>habitats</w:t>
      </w:r>
      <w:r>
        <w:t xml:space="preserve"> </w:t>
      </w:r>
      <w:r w:rsidR="00004F84">
        <w:t>were</w:t>
      </w:r>
      <w:r>
        <w:t xml:space="preserve"> coincident with</w:t>
      </w:r>
      <w:r w:rsidR="001F6202">
        <w:t xml:space="preserve"> stark</w:t>
      </w:r>
      <w:r>
        <w:t xml:space="preserve"> changes in water temperature (</w:t>
      </w:r>
      <w:r w:rsidR="001F6202">
        <w:t xml:space="preserve">e.g. </w:t>
      </w:r>
      <w:r>
        <w:t xml:space="preserve">oceanic fronts) and sea-ice presence/absence. </w:t>
      </w:r>
      <w:r w:rsidR="005711F1">
        <w:t>The open-ocean components (excluding shelf and slope regions) of b</w:t>
      </w:r>
      <w:r>
        <w:t xml:space="preserve">oth MPAs reside almost entirely within </w:t>
      </w:r>
      <w:r w:rsidR="005711F1">
        <w:t>class 1</w:t>
      </w:r>
      <w:r w:rsidR="001F6202">
        <w:t xml:space="preserve"> of this model</w:t>
      </w:r>
      <w:r w:rsidR="005711F1">
        <w:t xml:space="preserve"> (Figure 5) i.e. </w:t>
      </w:r>
      <w:r w:rsidR="001F6202">
        <w:t xml:space="preserve">the class with the </w:t>
      </w:r>
      <w:r w:rsidR="005711F1">
        <w:t xml:space="preserve">lowest predicted value of DSL echo intensity. This class </w:t>
      </w:r>
      <w:r w:rsidR="004F494B">
        <w:t>encompasses</w:t>
      </w:r>
      <w:r w:rsidR="005711F1">
        <w:t xml:space="preserve"> the minimum sea-ice extent and is likely to comprise </w:t>
      </w:r>
      <w:r w:rsidR="001F6202">
        <w:t xml:space="preserve">of </w:t>
      </w:r>
      <w:r w:rsidR="005711F1">
        <w:t>a relatively low-biomass mesopelagic fish population. The most productive mesopelagic fish class (4) begins to form in the Indian Ocean and broadens, in conjunction with the A</w:t>
      </w:r>
      <w:r w:rsidR="001F6202">
        <w:t>C</w:t>
      </w:r>
      <w:r w:rsidR="005711F1">
        <w:t xml:space="preserve">C, in a clockwise direction until it meets land (South America), where the ACC is confined </w:t>
      </w:r>
      <w:r w:rsidR="001F6202">
        <w:t xml:space="preserve">by topography </w:t>
      </w:r>
      <w:r w:rsidR="005711F1">
        <w:t>and funnelled (Drakes Passage)</w:t>
      </w:r>
      <w:r w:rsidR="005A09C6">
        <w:t xml:space="preserve"> </w:t>
      </w:r>
      <w:r w:rsidR="001F6202">
        <w:t>into the</w:t>
      </w:r>
      <w:r w:rsidR="005A09C6">
        <w:t xml:space="preserve"> Atlantic sector</w:t>
      </w:r>
      <w:r w:rsidR="001F6202">
        <w:t xml:space="preserve"> of the Southern Ocean</w:t>
      </w:r>
      <w:r w:rsidR="005711F1">
        <w:t>.</w:t>
      </w:r>
      <w:r w:rsidR="004436B8">
        <w:t xml:space="preserve"> Interestingly, there appears to be symmetry in the </w:t>
      </w:r>
      <w:r w:rsidR="001F6202">
        <w:t>spatial arrangement of classes</w:t>
      </w:r>
      <w:r w:rsidR="004436B8">
        <w:t xml:space="preserve"> north-to-south and east-to west, where the east-to-west arrangement has </w:t>
      </w:r>
      <w:r w:rsidR="00247E90">
        <w:t xml:space="preserve">relatively </w:t>
      </w:r>
      <w:r w:rsidR="004436B8">
        <w:lastRenderedPageBreak/>
        <w:t>larger regions of the higher biomass classes than the north-to-south</w:t>
      </w:r>
      <w:r w:rsidR="001F6202">
        <w:t xml:space="preserve"> arrangement</w:t>
      </w:r>
      <w:r w:rsidR="004436B8">
        <w:t xml:space="preserve"> (Figure 5). This </w:t>
      </w:r>
      <w:r w:rsidR="00247E90">
        <w:t xml:space="preserve">continental </w:t>
      </w:r>
      <w:r w:rsidR="004436B8">
        <w:t xml:space="preserve">symmetry in mesopelagic production may be a consequence of </w:t>
      </w:r>
      <w:r w:rsidR="001F6202">
        <w:t xml:space="preserve">varying </w:t>
      </w:r>
      <w:r w:rsidR="004436B8">
        <w:t xml:space="preserve">hydrography and sea-ice </w:t>
      </w:r>
      <w:r w:rsidR="001F6202">
        <w:t>extent but</w:t>
      </w:r>
      <w:r w:rsidR="004436B8">
        <w:t xml:space="preserve"> could </w:t>
      </w:r>
      <w:r w:rsidR="001F6202">
        <w:t xml:space="preserve">also </w:t>
      </w:r>
      <w:r w:rsidR="004436B8">
        <w:t xml:space="preserve">be related to </w:t>
      </w:r>
      <w:r w:rsidR="001F6202">
        <w:t xml:space="preserve">long-term oceanographic oscillations such as the </w:t>
      </w:r>
      <w:r w:rsidR="004436B8">
        <w:t>Antarctic circumpolar wave</w:t>
      </w:r>
      <w:r w:rsidR="001F6202">
        <w:t xml:space="preserve"> (ACW</w:t>
      </w:r>
      <w:r w:rsidR="00A62CFC">
        <w:t xml:space="preserve">, </w:t>
      </w:r>
      <w:r w:rsidR="00A62CFC">
        <w:fldChar w:fldCharType="begin" w:fldLock="1"/>
      </w:r>
      <w:r w:rsidR="002D710F">
        <w:instrText>ADDIN CSL_CITATION {"citationItems":[{"id":"ITEM-1","itemData":{"DOI":"10.1038/380699a0","ISBN":"0028-0836","ISSN":"00280836","PMID":"6849","abstract":"THE Southern Ocean is the only oceanic domain encircling the globe. It contains the strong eastward flow of the Antarctic Circumpolar Current, and is the unifying link for exchanges of water masses at all depths between the world's major ocean basins1. As these exchanges are an important control on mean global climate, the Southern Ocean is expected to play an important role in transmitting climate anomalies around the globe. Interannual variability has been often observed at high southern latitudes, and observations of sea-ice extent suggest that such features propagate eastwards around the Southern Ocean2,3. Here we use data from a variety of observational techniques to identify significant interannual variations in the atmospheric pressure at sea level, wind stress, sea surface temperature and sea-ice extent over the Southern Ocean. These anomalies propagate eastward with the circumpolar flow, with a period of 4–5 years and taking 8–10 years to encircle the pole. This system of coupled anomalies, which we call the Antarctic Circumpolar Wave, is likely to play an important role in climate regulation and dynamics both within and beyond the Southern Ocean.","author":[{"dropping-particle":"","family":"White","given":"Warren B.","non-dropping-particle":"","parse-names":false,"suffix":""},{"dropping-particle":"","family":"Peterson","given":"Ray G.","non-dropping-particle":"","parse-names":false,"suffix":""}],"container-title":"Nature","id":"ITEM-1","issue":"6576","issued":{"date-parts":[["1996"]]},"page":"699-702","title":"An Antarctic circumpolar wave in surface pressure, wind, temperature and sea-ice extent","type":"article-journal","volume":"380"},"uris":["http://www.mendeley.com/documents/?uuid=75a903cf-be8f-4c4e-8afa-4a46ed3009e3"]}],"mendeley":{"formattedCitation":"(White &amp; Peterson 1996)","manualFormatting":"White &amp; Peterson 1996)","plainTextFormattedCitation":"(White &amp; Peterson 1996)","previouslyFormattedCitation":"(White &amp; Peterson 1996)"},"properties":{"noteIndex":0},"schema":"https://github.com/citation-style-language/schema/raw/master/csl-citation.json"}</w:instrText>
      </w:r>
      <w:r w:rsidR="00A62CFC">
        <w:fldChar w:fldCharType="separate"/>
      </w:r>
      <w:r w:rsidR="00A62CFC" w:rsidRPr="00A62CFC">
        <w:rPr>
          <w:noProof/>
        </w:rPr>
        <w:t>White &amp; Peterson 1996)</w:t>
      </w:r>
      <w:r w:rsidR="00A62CFC">
        <w:fldChar w:fldCharType="end"/>
      </w:r>
      <w:r w:rsidR="001F6202">
        <w:t xml:space="preserve"> and the El Nino Southern Oscillation (ENSO</w:t>
      </w:r>
      <w:r w:rsidR="00DD34B6">
        <w:t xml:space="preserve">, </w:t>
      </w:r>
      <w:r w:rsidR="00DD34B6">
        <w:fldChar w:fldCharType="begin" w:fldLock="1"/>
      </w:r>
      <w:r w:rsidR="002D710F">
        <w:instrText>ADDIN CSL_CITATION {"citationItems":[{"id":"ITEM-1","itemData":{"DOI":"10.1175/1520-0493(1987)115&lt;2262:AMENO&gt;2.0.CO;2","ISBN":"0027-0644","ISSN":"0027-0644","abstract":"A coupled atmosphere-ocean model is developed and used to study the ENSO (El Nino/Southern Oscillation) phenomenon. With no anomalous external forcing, the coupled model reproduces certain key features of the observed phenomenon, including the recurrence of warm events at irregular intervals with a preference for three to four years. It is shown that the mean sea surface temperature, wind and ocean current fields determine the characteristic spatial structure of ENSO anomalies. The tendency for phase-locking of anomalies is explained in terms of a variation in coupling strength associated with the annual cycle in the mean fields. Sensitivity studies reveal that both the amplitude and the time scale of the oscillation are sensitive to several parameters that affect the strength of the atmosphere-ocean coupling. Stronger coupling implies larger oscillations with a longer timescale. A critical element of the model oscillation is the variability in the equatorial heat content of the upper ocean. Equatorial heat content increases prior to warm events and decreases sharply during the events. A theory for this variability and the associated transitions between non-El Nino and El Nino states is presented. Implications of the model results for the prediction of El Nino events are discussed.","author":[{"dropping-particle":"","family":"Zebiak","given":"Stephen E","non-dropping-particle":"","parse-names":false,"suffix":""},{"dropping-particle":"","family":"Cane","given":"Mark A","non-dropping-particle":"","parse-names":false,"suffix":""}],"container-title":"Monthly Weather Review","id":"ITEM-1","issue":"10","issued":{"date-parts":[["1987","10"]]},"page":"2262-2278","title":"A Model El Nino–Southern Oscillation","type":"article-journal","volume":"115"},"uris":["http://www.mendeley.com/documents/?uuid=a804e4c2-b9ea-40a1-ad0b-8ea3aa1c75ad"]}],"mendeley":{"formattedCitation":"(Zebiak &amp; Cane 1987)","manualFormatting":"Zebiak &amp; Cane 1987)","plainTextFormattedCitation":"(Zebiak &amp; Cane 1987)","previouslyFormattedCitation":"(Zebiak &amp; Cane 1987)"},"properties":{"noteIndex":0},"schema":"https://github.com/citation-style-language/schema/raw/master/csl-citation.json"}</w:instrText>
      </w:r>
      <w:r w:rsidR="00DD34B6">
        <w:fldChar w:fldCharType="separate"/>
      </w:r>
      <w:r w:rsidR="00DD34B6" w:rsidRPr="00DD34B6">
        <w:rPr>
          <w:noProof/>
        </w:rPr>
        <w:t>Zebiak &amp; Cane 1987)</w:t>
      </w:r>
      <w:r w:rsidR="00DD34B6">
        <w:fldChar w:fldCharType="end"/>
      </w:r>
      <w:r w:rsidR="001F6202">
        <w:t xml:space="preserve">. </w:t>
      </w:r>
      <w:r w:rsidR="004436B8">
        <w:t xml:space="preserve"> </w:t>
      </w:r>
      <w:r w:rsidR="001F6202">
        <w:t xml:space="preserve">For instance, the ACW, which is in effect a wave of </w:t>
      </w:r>
      <w:r w:rsidR="004436B8">
        <w:t xml:space="preserve">anomalous environmental conditions </w:t>
      </w:r>
      <w:r w:rsidR="001F6202">
        <w:t xml:space="preserve">that </w:t>
      </w:r>
      <w:r w:rsidR="004436B8">
        <w:t>travels around the continent</w:t>
      </w:r>
      <w:r w:rsidR="001F6202">
        <w:t xml:space="preserve"> and has a period of c. 6-7 years</w:t>
      </w:r>
      <w:r w:rsidR="004436B8">
        <w:t xml:space="preserve">, </w:t>
      </w:r>
      <w:r w:rsidR="001F6202">
        <w:t>could cause a bias in the habitat model</w:t>
      </w:r>
      <w:r w:rsidR="00247E90">
        <w:t>,</w:t>
      </w:r>
      <w:r w:rsidR="001F6202">
        <w:t xml:space="preserve"> since the variables have been averaged over a ten-year period (2005-2015).</w:t>
      </w:r>
    </w:p>
    <w:p w14:paraId="2E03AEEA" w14:textId="26C22EFA" w:rsidR="008E2838" w:rsidRDefault="00BC5510" w:rsidP="008E2838">
      <w:pPr>
        <w:jc w:val="center"/>
      </w:pPr>
      <w:r>
        <w:rPr>
          <w:noProof/>
        </w:rPr>
        <w:drawing>
          <wp:inline distT="0" distB="0" distL="0" distR="0" wp14:anchorId="1D135C6E" wp14:editId="268CBD05">
            <wp:extent cx="5737860" cy="48234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5">
                      <a:extLst>
                        <a:ext uri="{28A0092B-C50C-407E-A947-70E740481C1C}">
                          <a14:useLocalDpi xmlns:a14="http://schemas.microsoft.com/office/drawing/2010/main" val="0"/>
                        </a:ext>
                      </a:extLst>
                    </a:blip>
                    <a:srcRect t="10890" b="5047"/>
                    <a:stretch/>
                  </pic:blipFill>
                  <pic:spPr bwMode="auto">
                    <a:xfrm>
                      <a:off x="0" y="0"/>
                      <a:ext cx="5737860" cy="4823460"/>
                    </a:xfrm>
                    <a:prstGeom prst="rect">
                      <a:avLst/>
                    </a:prstGeom>
                    <a:noFill/>
                    <a:ln>
                      <a:noFill/>
                    </a:ln>
                    <a:extLst>
                      <a:ext uri="{53640926-AAD7-44D8-BBD7-CCE9431645EC}">
                        <a14:shadowObscured xmlns:a14="http://schemas.microsoft.com/office/drawing/2010/main"/>
                      </a:ext>
                    </a:extLst>
                  </pic:spPr>
                </pic:pic>
              </a:graphicData>
            </a:graphic>
          </wp:inline>
        </w:drawing>
      </w:r>
    </w:p>
    <w:p w14:paraId="7AF85BAF" w14:textId="02FE7882" w:rsidR="006151C4" w:rsidRPr="008E2838" w:rsidRDefault="006151C4" w:rsidP="008816D8">
      <w:pPr>
        <w:pStyle w:val="Caption2"/>
      </w:pPr>
      <w:bookmarkStart w:id="27" w:name="_Toc2505310"/>
      <w:r>
        <w:t>Figure 5 Four-class Southern Ocean mesopelagic</w:t>
      </w:r>
      <w:r w:rsidR="00004F84">
        <w:t xml:space="preserve"> fish</w:t>
      </w:r>
      <w:r>
        <w:t xml:space="preserve"> habitat model. MPAs indicated by magenta line. Minimum sea-ice extent shown by light-blue shading and maximum sea-ice extent indicated by white line.</w:t>
      </w:r>
      <w:bookmarkEnd w:id="27"/>
    </w:p>
    <w:p w14:paraId="7F61A353" w14:textId="00E84A28" w:rsidR="00B074D1" w:rsidRDefault="008E2838" w:rsidP="00D7758E">
      <w:pPr>
        <w:pStyle w:val="Heading3"/>
      </w:pPr>
      <w:bookmarkStart w:id="28" w:name="_Toc2505298"/>
      <w:r>
        <w:t>Small-scale partitioning</w:t>
      </w:r>
      <w:bookmarkEnd w:id="28"/>
    </w:p>
    <w:p w14:paraId="6A71877E" w14:textId="27006EA8" w:rsidR="008816D8" w:rsidRPr="008816D8" w:rsidRDefault="00E34489" w:rsidP="008816D8">
      <w:r>
        <w:t xml:space="preserve">The optimum </w:t>
      </w:r>
      <w:r w:rsidR="00DD34B6">
        <w:t xml:space="preserve">mesopelagic fish </w:t>
      </w:r>
      <w:r>
        <w:t xml:space="preserve">habitat model </w:t>
      </w:r>
      <w:r w:rsidR="005A09C6">
        <w:t>with the largest number of classes was the</w:t>
      </w:r>
      <w:r>
        <w:t xml:space="preserve"> </w:t>
      </w:r>
      <w:r w:rsidR="00DD34B6">
        <w:t>twenty-three</w:t>
      </w:r>
      <w:r w:rsidR="005A09C6">
        <w:t>-class model</w:t>
      </w:r>
      <w:r>
        <w:t xml:space="preserve">, </w:t>
      </w:r>
      <w:r w:rsidR="005A09C6">
        <w:t>which partitioned</w:t>
      </w:r>
      <w:r>
        <w:t xml:space="preserve"> the Southern Ocean into </w:t>
      </w:r>
      <w:r w:rsidR="005A09C6">
        <w:t xml:space="preserve">numerous </w:t>
      </w:r>
      <w:r>
        <w:t xml:space="preserve">smaller-scale </w:t>
      </w:r>
      <w:r w:rsidR="00DD34B6">
        <w:t>mesopelagic fish habitats (Figure 6)</w:t>
      </w:r>
      <w:r>
        <w:t>. At this finer</w:t>
      </w:r>
      <w:r w:rsidR="00DD34B6">
        <w:t>-</w:t>
      </w:r>
      <w:r>
        <w:t xml:space="preserve">scale, </w:t>
      </w:r>
      <w:proofErr w:type="gramStart"/>
      <w:r>
        <w:t>the majority of</w:t>
      </w:r>
      <w:proofErr w:type="gramEnd"/>
      <w:r>
        <w:t xml:space="preserve"> classes </w:t>
      </w:r>
      <w:r w:rsidR="005A09C6">
        <w:t>were</w:t>
      </w:r>
      <w:r>
        <w:t xml:space="preserve"> still formed of concentric </w:t>
      </w:r>
      <w:r w:rsidR="003648FA">
        <w:t>rings</w:t>
      </w:r>
      <w:r>
        <w:t xml:space="preserve"> around the continent (Figure 6)</w:t>
      </w:r>
      <w:r w:rsidR="00567B91">
        <w:t>.</w:t>
      </w:r>
      <w:r w:rsidR="00DD34B6">
        <w:t xml:space="preserve"> </w:t>
      </w:r>
      <w:r>
        <w:t xml:space="preserve">There </w:t>
      </w:r>
      <w:r w:rsidR="00247E90">
        <w:t>was</w:t>
      </w:r>
      <w:r>
        <w:t xml:space="preserve"> a distinct difference between the inner-ice classes (within the maximum sea</w:t>
      </w:r>
      <w:r w:rsidR="00247E90">
        <w:t>-</w:t>
      </w:r>
      <w:r>
        <w:t xml:space="preserve">ice extent, which is also a proxy for </w:t>
      </w:r>
      <w:r>
        <w:lastRenderedPageBreak/>
        <w:t xml:space="preserve">the mean position of the polar front), which </w:t>
      </w:r>
      <w:r w:rsidR="003648FA">
        <w:t>were</w:t>
      </w:r>
      <w:r>
        <w:t xml:space="preserve"> more fragmented</w:t>
      </w:r>
      <w:r w:rsidR="00DD34B6">
        <w:t>,</w:t>
      </w:r>
      <w:r>
        <w:t xml:space="preserve"> </w:t>
      </w:r>
      <w:r w:rsidR="00247E90">
        <w:t>and</w:t>
      </w:r>
      <w:r>
        <w:t xml:space="preserve"> the out</w:t>
      </w:r>
      <w:r w:rsidR="00567B91">
        <w:t>er</w:t>
      </w:r>
      <w:r>
        <w:t>-ice classes</w:t>
      </w:r>
      <w:r w:rsidR="00DD34B6">
        <w:t>,</w:t>
      </w:r>
      <w:r>
        <w:t xml:space="preserve"> which </w:t>
      </w:r>
      <w:r w:rsidR="003648FA">
        <w:t>had</w:t>
      </w:r>
      <w:r>
        <w:t xml:space="preserve"> smoother </w:t>
      </w:r>
      <w:r w:rsidR="00DD34B6">
        <w:t xml:space="preserve">class-boundary </w:t>
      </w:r>
      <w:r w:rsidR="00567B91">
        <w:t xml:space="preserve">transitions and </w:t>
      </w:r>
      <w:r w:rsidR="00247E90">
        <w:t>were</w:t>
      </w:r>
      <w:r w:rsidR="00567B91">
        <w:t xml:space="preserve"> contained </w:t>
      </w:r>
      <w:r w:rsidR="00DD34B6">
        <w:t>by</w:t>
      </w:r>
      <w:r w:rsidR="00567B91">
        <w:t xml:space="preserve"> smaller latitudinal ranges</w:t>
      </w:r>
      <w:r w:rsidR="00DD34B6">
        <w:t xml:space="preserve">; this difference could be a consequence of </w:t>
      </w:r>
      <w:r w:rsidR="00DD0800">
        <w:t xml:space="preserve">spatially </w:t>
      </w:r>
      <w:r w:rsidR="00247E90">
        <w:t xml:space="preserve">averaging </w:t>
      </w:r>
      <w:r w:rsidR="00DD34B6">
        <w:t xml:space="preserve">inter-annual variability </w:t>
      </w:r>
      <w:r w:rsidR="00DD0800">
        <w:t>in the position of the subtropical front, which shifts latitudinally over time</w:t>
      </w:r>
      <w:r w:rsidR="00247E90">
        <w:t xml:space="preserve">. </w:t>
      </w:r>
    </w:p>
    <w:p w14:paraId="000BE189" w14:textId="198810A3" w:rsidR="008E2838" w:rsidRPr="008E2838" w:rsidRDefault="00BC5510" w:rsidP="00C00999">
      <w:pPr>
        <w:jc w:val="center"/>
      </w:pPr>
      <w:r>
        <w:rPr>
          <w:noProof/>
        </w:rPr>
        <w:drawing>
          <wp:inline distT="0" distB="0" distL="0" distR="0" wp14:anchorId="528DABEE" wp14:editId="49171814">
            <wp:extent cx="5737860" cy="48082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6">
                      <a:extLst>
                        <a:ext uri="{28A0092B-C50C-407E-A947-70E740481C1C}">
                          <a14:useLocalDpi xmlns:a14="http://schemas.microsoft.com/office/drawing/2010/main" val="0"/>
                        </a:ext>
                      </a:extLst>
                    </a:blip>
                    <a:srcRect t="11022" b="5180"/>
                    <a:stretch/>
                  </pic:blipFill>
                  <pic:spPr bwMode="auto">
                    <a:xfrm>
                      <a:off x="0" y="0"/>
                      <a:ext cx="5737860" cy="4808220"/>
                    </a:xfrm>
                    <a:prstGeom prst="rect">
                      <a:avLst/>
                    </a:prstGeom>
                    <a:noFill/>
                    <a:ln>
                      <a:noFill/>
                    </a:ln>
                    <a:extLst>
                      <a:ext uri="{53640926-AAD7-44D8-BBD7-CCE9431645EC}">
                        <a14:shadowObscured xmlns:a14="http://schemas.microsoft.com/office/drawing/2010/main"/>
                      </a:ext>
                    </a:extLst>
                  </pic:spPr>
                </pic:pic>
              </a:graphicData>
            </a:graphic>
          </wp:inline>
        </w:drawing>
      </w:r>
    </w:p>
    <w:p w14:paraId="0D48CEF4" w14:textId="16039681" w:rsidR="008E2838" w:rsidRPr="008E2838" w:rsidRDefault="006151C4" w:rsidP="00BC5510">
      <w:pPr>
        <w:pStyle w:val="Caption2"/>
      </w:pPr>
      <w:bookmarkStart w:id="29" w:name="_Toc2505311"/>
      <w:r>
        <w:t xml:space="preserve">Figure </w:t>
      </w:r>
      <w:r w:rsidR="00BF5A17">
        <w:t>6</w:t>
      </w:r>
      <w:r>
        <w:t xml:space="preserve"> Twenty-three-class Southern Ocean mesopelagic</w:t>
      </w:r>
      <w:r w:rsidR="00004F84">
        <w:t xml:space="preserve"> fish</w:t>
      </w:r>
      <w:r>
        <w:t xml:space="preserve"> habitat model. MPAs indicated by magenta line. Minimum sea-ice extent shown by light-blue shading and maximum sea-ice extent indicated by white line.</w:t>
      </w:r>
      <w:bookmarkEnd w:id="29"/>
    </w:p>
    <w:p w14:paraId="4BC30460" w14:textId="26EEE5C4" w:rsidR="00B074D1" w:rsidRDefault="008E2838" w:rsidP="002103F5">
      <w:pPr>
        <w:pStyle w:val="Heading2"/>
      </w:pPr>
      <w:bookmarkStart w:id="30" w:name="_Toc2505299"/>
      <w:r>
        <w:t>Consequences of Scaling</w:t>
      </w:r>
      <w:bookmarkEnd w:id="30"/>
    </w:p>
    <w:p w14:paraId="6CE3DBCB" w14:textId="2349859B" w:rsidR="00567B91" w:rsidRPr="008E2838" w:rsidRDefault="00567B91" w:rsidP="008E2838">
      <w:r>
        <w:t xml:space="preserve">The method described </w:t>
      </w:r>
      <w:r w:rsidR="00DD34B6">
        <w:t>in this section</w:t>
      </w:r>
      <w:r>
        <w:t xml:space="preserve"> provides a means to partition the </w:t>
      </w:r>
      <w:r w:rsidR="00781593">
        <w:t>Southern</w:t>
      </w:r>
      <w:r>
        <w:t xml:space="preserve"> </w:t>
      </w:r>
      <w:r w:rsidR="00781593">
        <w:t>Ocean</w:t>
      </w:r>
      <w:r>
        <w:t xml:space="preserve"> into </w:t>
      </w:r>
      <w:r w:rsidR="00781593">
        <w:t>mesopelagic</w:t>
      </w:r>
      <w:r>
        <w:t xml:space="preserve"> fish </w:t>
      </w:r>
      <w:r w:rsidR="00781593">
        <w:t>habitats</w:t>
      </w:r>
      <w:r>
        <w:t xml:space="preserve"> </w:t>
      </w:r>
      <w:r w:rsidR="00DD34B6">
        <w:t>at</w:t>
      </w:r>
      <w:r>
        <w:t xml:space="preserve"> any given scale.</w:t>
      </w:r>
      <w:r w:rsidR="00781593">
        <w:t xml:space="preserve"> The </w:t>
      </w:r>
      <w:r w:rsidR="00DD0800">
        <w:t xml:space="preserve">presented habitat </w:t>
      </w:r>
      <w:r w:rsidR="00DD34B6">
        <w:t>models</w:t>
      </w:r>
      <w:r w:rsidR="00781593">
        <w:t xml:space="preserve"> range from a four-class model up to a </w:t>
      </w:r>
      <w:r w:rsidR="003143E8">
        <w:t>twenty-three-class</w:t>
      </w:r>
      <w:r w:rsidR="00781593">
        <w:t xml:space="preserve"> model (</w:t>
      </w:r>
      <w:r w:rsidR="00DD34B6">
        <w:t>habitat models</w:t>
      </w:r>
      <w:r w:rsidR="00781593">
        <w:t xml:space="preserve"> </w:t>
      </w:r>
      <w:r w:rsidR="003143E8">
        <w:t xml:space="preserve">with class numbers </w:t>
      </w:r>
      <w:r w:rsidR="00781593">
        <w:t xml:space="preserve">in between these values are </w:t>
      </w:r>
      <w:r w:rsidR="003143E8">
        <w:t>presented</w:t>
      </w:r>
      <w:r w:rsidR="00781593">
        <w:t xml:space="preserve"> in the Appendix, Figure</w:t>
      </w:r>
      <w:r w:rsidR="00DD34B6">
        <w:t>s</w:t>
      </w:r>
      <w:r w:rsidR="00781593">
        <w:t xml:space="preserve"> A1-A4).</w:t>
      </w:r>
      <w:r>
        <w:t xml:space="preserve"> </w:t>
      </w:r>
      <w:r w:rsidR="00DD0800">
        <w:t>Selection of the</w:t>
      </w:r>
      <w:r>
        <w:t xml:space="preserve"> most appropriate </w:t>
      </w:r>
      <w:r w:rsidR="00DD34B6">
        <w:t xml:space="preserve">spatial </w:t>
      </w:r>
      <w:r>
        <w:t xml:space="preserve">scale </w:t>
      </w:r>
      <w:r w:rsidR="00781593">
        <w:t>depends</w:t>
      </w:r>
      <w:r>
        <w:t xml:space="preserve"> on the application</w:t>
      </w:r>
      <w:r w:rsidR="00DD0800">
        <w:t xml:space="preserve"> or study</w:t>
      </w:r>
      <w:r>
        <w:t>, whether that is for conservation</w:t>
      </w:r>
      <w:r w:rsidR="00DD34B6">
        <w:t>, research</w:t>
      </w:r>
      <w:r>
        <w:t xml:space="preserve"> o</w:t>
      </w:r>
      <w:r w:rsidR="006C71D8">
        <w:t>r</w:t>
      </w:r>
      <w:r>
        <w:t xml:space="preserve"> fisheries management</w:t>
      </w:r>
      <w:r w:rsidR="00DD0800">
        <w:t xml:space="preserve"> purposes</w:t>
      </w:r>
      <w:r>
        <w:t xml:space="preserve">. For instance, </w:t>
      </w:r>
      <w:r w:rsidR="00DD34B6">
        <w:t>part of the</w:t>
      </w:r>
      <w:r>
        <w:t xml:space="preserve"> general protection zone in the Ross Sea MPA which is formed of a single</w:t>
      </w:r>
      <w:r w:rsidR="00DD34B6">
        <w:t>,</w:t>
      </w:r>
      <w:r>
        <w:t xml:space="preserve"> relatively small box </w:t>
      </w:r>
      <w:r w:rsidR="00DD34B6">
        <w:t>that is situated</w:t>
      </w:r>
      <w:r>
        <w:t xml:space="preserve"> </w:t>
      </w:r>
      <w:r w:rsidR="002614D8">
        <w:t>close to the polar front</w:t>
      </w:r>
      <w:r>
        <w:t xml:space="preserve"> (Figure 1), resides within a </w:t>
      </w:r>
      <w:r w:rsidR="00781593">
        <w:t>relatively</w:t>
      </w:r>
      <w:r>
        <w:t xml:space="preserve"> </w:t>
      </w:r>
      <w:r w:rsidR="002614D8">
        <w:t>high-biomass</w:t>
      </w:r>
      <w:r>
        <w:t xml:space="preserve"> </w:t>
      </w:r>
      <w:r w:rsidR="00781593">
        <w:t>mesopelagic</w:t>
      </w:r>
      <w:r>
        <w:t xml:space="preserve"> fish </w:t>
      </w:r>
      <w:r w:rsidR="002614D8">
        <w:t>habitat,</w:t>
      </w:r>
      <w:r>
        <w:t xml:space="preserve"> </w:t>
      </w:r>
      <w:r w:rsidR="006C71D8">
        <w:t>when considering the</w:t>
      </w:r>
      <w:r w:rsidR="002614D8">
        <w:t xml:space="preserve"> result of the</w:t>
      </w:r>
      <w:r>
        <w:t xml:space="preserve"> </w:t>
      </w:r>
      <w:r w:rsidR="002614D8">
        <w:t>finer-scale</w:t>
      </w:r>
      <w:r w:rsidR="00781593">
        <w:t xml:space="preserve"> </w:t>
      </w:r>
      <w:r>
        <w:t>parti</w:t>
      </w:r>
      <w:r w:rsidR="00781593">
        <w:t>ti</w:t>
      </w:r>
      <w:r>
        <w:t>on (Figure 6),</w:t>
      </w:r>
      <w:r w:rsidR="002614D8">
        <w:t xml:space="preserve"> however,</w:t>
      </w:r>
      <w:r>
        <w:t xml:space="preserve"> this is not apparent at </w:t>
      </w:r>
      <w:r w:rsidR="006C71D8">
        <w:lastRenderedPageBreak/>
        <w:t>larger</w:t>
      </w:r>
      <w:r w:rsidR="00781593">
        <w:t xml:space="preserve"> scales (e.g. Figure 5). Coincidently, this box is close to the edge of the maximum sea-ice extent and maybe a better site to study Antarctic krill than the designated krill research zone (western box of Ross Sea MPA, Figure</w:t>
      </w:r>
      <w:r w:rsidR="002614D8">
        <w:t>s</w:t>
      </w:r>
      <w:r w:rsidR="00781593">
        <w:t xml:space="preserve"> 1 -6)</w:t>
      </w:r>
      <w:r w:rsidR="002614D8">
        <w:t>,</w:t>
      </w:r>
      <w:r w:rsidR="00781593">
        <w:t xml:space="preserve"> since whales</w:t>
      </w:r>
      <w:r w:rsidR="002614D8">
        <w:t>, which feed mainly on krill in the Southern Ocean,</w:t>
      </w:r>
      <w:r w:rsidR="00781593">
        <w:t xml:space="preserve"> are known to </w:t>
      </w:r>
      <w:r w:rsidR="002614D8">
        <w:t xml:space="preserve">congregate at this location and </w:t>
      </w:r>
      <w:r w:rsidR="00781593">
        <w:t xml:space="preserve">feed (e.g. Marr’s Discovery reports, 1962). </w:t>
      </w:r>
      <w:r w:rsidR="002614D8">
        <w:t xml:space="preserve">Larger scale partitioning </w:t>
      </w:r>
      <w:r w:rsidR="00DD0800">
        <w:t xml:space="preserve">of the Southern Ocean </w:t>
      </w:r>
      <w:r w:rsidR="002614D8">
        <w:t xml:space="preserve">into mesopelagic fish habitats maybe more appropriate </w:t>
      </w:r>
      <w:r w:rsidR="00781593">
        <w:t>when designating general areas for management</w:t>
      </w:r>
      <w:r w:rsidR="002614D8">
        <w:t xml:space="preserve"> purposes, akin to the large-scale </w:t>
      </w:r>
      <w:r w:rsidR="003143E8">
        <w:t>planning</w:t>
      </w:r>
      <w:r w:rsidR="002614D8">
        <w:t xml:space="preserve"> domains defined by CCAMLR.</w:t>
      </w:r>
    </w:p>
    <w:p w14:paraId="571B450A" w14:textId="0D575F16" w:rsidR="0088737E" w:rsidRDefault="00504708" w:rsidP="00D7758E">
      <w:pPr>
        <w:pStyle w:val="Heading1"/>
      </w:pPr>
      <w:bookmarkStart w:id="31" w:name="_Toc2505300"/>
      <w:r>
        <w:t>Discussion and Summary</w:t>
      </w:r>
      <w:bookmarkEnd w:id="31"/>
    </w:p>
    <w:p w14:paraId="5E586C57" w14:textId="2C81F95F" w:rsidR="00155AA1" w:rsidRPr="00781593" w:rsidRDefault="00C83D2A" w:rsidP="00781593">
      <w:r>
        <w:t>Mesopelagic</w:t>
      </w:r>
      <w:r w:rsidR="00EC2097">
        <w:t xml:space="preserve"> fish biomass is driven, at least in a global sense, by water temperature at the depth of the</w:t>
      </w:r>
      <w:r w:rsidR="00027FA3">
        <w:t xml:space="preserve"> principal (or most common)</w:t>
      </w:r>
      <w:r w:rsidR="00EC2097">
        <w:t xml:space="preserve"> deep scattering layer</w:t>
      </w:r>
      <w:r w:rsidR="00027FA3">
        <w:t xml:space="preserve"> (DSL)</w:t>
      </w:r>
      <w:r w:rsidR="00EC2097">
        <w:t xml:space="preserve"> and by </w:t>
      </w:r>
      <w:r w:rsidR="00027FA3">
        <w:t xml:space="preserve">net </w:t>
      </w:r>
      <w:r w:rsidR="00EC2097">
        <w:t>primary production</w:t>
      </w:r>
      <w:r w:rsidR="00027FA3">
        <w:t xml:space="preserve"> (PP)</w:t>
      </w:r>
      <w:r w:rsidR="00EC2097">
        <w:t xml:space="preserve"> at the surface (</w:t>
      </w:r>
      <w:r w:rsidR="00027FA3">
        <w:t>P</w:t>
      </w:r>
      <w:r w:rsidR="00EC2097">
        <w:t>roud et al., 2017). In this report</w:t>
      </w:r>
      <w:r w:rsidR="00027FA3">
        <w:t>,</w:t>
      </w:r>
      <w:r w:rsidR="00EC2097">
        <w:t xml:space="preserve"> we have used this relationship to </w:t>
      </w:r>
      <w:proofErr w:type="spellStart"/>
      <w:r w:rsidR="00027FA3">
        <w:t>i</w:t>
      </w:r>
      <w:proofErr w:type="spellEnd"/>
      <w:r>
        <w:t>.) define the</w:t>
      </w:r>
      <w:r w:rsidR="00027FA3">
        <w:t xml:space="preserve"> likely</w:t>
      </w:r>
      <w:r>
        <w:t xml:space="preserve"> extent of </w:t>
      </w:r>
      <w:r w:rsidR="00FB5114">
        <w:t xml:space="preserve">the </w:t>
      </w:r>
      <w:r w:rsidR="00ED36DD">
        <w:t>Southern Ocean</w:t>
      </w:r>
      <w:r>
        <w:t xml:space="preserve"> mesopelagic fish population (Figure 3), and </w:t>
      </w:r>
      <w:r w:rsidR="00027FA3">
        <w:t>ii</w:t>
      </w:r>
      <w:r>
        <w:t xml:space="preserve">.) partition the Southern </w:t>
      </w:r>
      <w:r w:rsidR="00ED36DD">
        <w:t>Ocean</w:t>
      </w:r>
      <w:r>
        <w:t xml:space="preserve"> into mesopelagic fish classes</w:t>
      </w:r>
      <w:r w:rsidR="00027FA3">
        <w:t xml:space="preserve"> and habitats</w:t>
      </w:r>
      <w:r>
        <w:t xml:space="preserve"> across a wide range of spatial scales (Figures 4-6 and A1-A4). The partitioning of the ocean is strongly driven by latitude and hence by changes in temperature which are a consequence of the stacked frontal regime</w:t>
      </w:r>
      <w:r w:rsidR="00404958">
        <w:t>,</w:t>
      </w:r>
      <w:r>
        <w:t xml:space="preserve"> which </w:t>
      </w:r>
      <w:r w:rsidR="00027FA3">
        <w:t>begins at the polar front close to the maximum sea-ice extent</w:t>
      </w:r>
      <w:r>
        <w:t xml:space="preserve"> and moves equatorward up to the relatively productive subtropical frontal zone (Figure 1). This </w:t>
      </w:r>
      <w:r w:rsidR="00027FA3">
        <w:t>finding</w:t>
      </w:r>
      <w:r>
        <w:t xml:space="preserve"> is not surprising and similar </w:t>
      </w:r>
      <w:r w:rsidR="006C71D8">
        <w:t>results</w:t>
      </w:r>
      <w:r>
        <w:t xml:space="preserve"> can be found in the literature </w:t>
      </w:r>
      <w:r>
        <w:fldChar w:fldCharType="begin" w:fldLock="1"/>
      </w:r>
      <w:r w:rsidR="002D710F">
        <w:instrText>ADDIN CSL_CITATION {"citationItems":[{"id":"ITEM-1","itemData":{"DOI":"10.1016/j.dsr2.2010.09.007","ISBN":"0967-0645","ISSN":"09670645","abstract":"The Southern Ocean is delimited by major frontal zones which influence pelagic life at the spatial macroscale. There is a sharp ecological segregation of pelagic fish that inhabit this ocean with some families living in the neritic zone and others in the oceanic zone. The neritic zone is dominated by fish of the Notothenioid suborder. In the oceanic zone, mesopelagic species are dominated by myctophids. Their spatial distribution is highly influenced by meso- or sub-mesoscale oceanographic features. Myctophid presence/absence records from historical surveys and from the Census of Antarctic Marine Life were used to model species assemblages in the Indian sector of the Southern Ocean by using generalized dissimilarity modeling. This statistical technique is data-driven and is used in conjunction with Geographic Information Systems for creating models between communities and environmental factors. Application of these models in large unsurveyed areas is possible and helps in delineating regions of potential similar assemblages. This will allow us to move from the bioregionalization of the Southern Ocean based on only abiotic factors and chlorophyll, to its ecoregionalization by adding species assemblages. © 2010.","author":[{"dropping-particle":"","family":"Koubbi","given":"Philippe","non-dropping-particle":"","parse-names":false,"suffix":""},{"dropping-particle":"","family":"Moteki","given":"Masato","non-dropping-particle":"","parse-names":false,"suffix":""},{"dropping-particle":"","family":"Duhamel","given":"Guy","non-dropping-particle":"","parse-names":false,"suffix":""},{"dropping-particle":"","family":"Goarant","given":"Anne","non-dropping-particle":"","parse-names":false,"suffix":""},{"dropping-particle":"","family":"Hulley","given":"Percy Alexander","non-dropping-particle":"","parse-names":false,"suffix":""},{"dropping-particle":"","family":"O'Driscoll","given":"Richard","non-dropping-particle":"","parse-names":false,"suffix":""},{"dropping-particle":"","family":"Ishimaru","given":"Takashi","non-dropping-particle":"","parse-names":false,"suffix":""},{"dropping-particle":"","family":"Pruvost","given":"Patrice","non-dropping-particle":"","parse-names":false,"suffix":""},{"dropping-particle":"","family":"Tavernier","given":"Eric","non-dropping-particle":"","parse-names":false,"suffix":""},{"dropping-particle":"","family":"Hosie","given":"Graham","non-dropping-particle":"","parse-names":false,"suffix":""}],"container-title":"Deep-Sea Research Part II: Topical Studies in Oceanography","id":"ITEM-1","issue":"1-2","issued":{"date-parts":[["2011"]]},"page":"170-180","title":"Ecoregionalization of myctophid fish in the Indian sector of the Southern Ocean: Results from generalized dissimilarity models","type":"article-journal","volume":"58"},"uris":["http://www.mendeley.com/documents/?uuid=69e79f61-e44c-4a02-80ae-88e5a557d6cc"]}],"mendeley":{"formattedCitation":"(Koubbi et al. 2011)","manualFormatting":"(e.g. Koubbi et al. 2011)","plainTextFormattedCitation":"(Koubbi et al. 2011)","previouslyFormattedCitation":"(Koubbi et al. 2011)"},"properties":{"noteIndex":0},"schema":"https://github.com/citation-style-language/schema/raw/master/csl-citation.json"}</w:instrText>
      </w:r>
      <w:r>
        <w:fldChar w:fldCharType="separate"/>
      </w:r>
      <w:r w:rsidRPr="00C83D2A">
        <w:rPr>
          <w:noProof/>
        </w:rPr>
        <w:t>(</w:t>
      </w:r>
      <w:r>
        <w:rPr>
          <w:noProof/>
        </w:rPr>
        <w:t xml:space="preserve">e.g. </w:t>
      </w:r>
      <w:r w:rsidRPr="00C83D2A">
        <w:rPr>
          <w:noProof/>
        </w:rPr>
        <w:t>Koubbi et al. 2011)</w:t>
      </w:r>
      <w:r>
        <w:fldChar w:fldCharType="end"/>
      </w:r>
      <w:r>
        <w:t xml:space="preserve">. </w:t>
      </w:r>
      <w:r w:rsidR="00027FA3">
        <w:t>The inferred</w:t>
      </w:r>
      <w:r>
        <w:t xml:space="preserve"> latitudinal gradient in mesopelagic fish biomass makes the Southern Ocean very difficult to protect effectively</w:t>
      </w:r>
      <w:r w:rsidR="00027FA3">
        <w:t xml:space="preserve"> when</w:t>
      </w:r>
      <w:r w:rsidR="00ED36DD">
        <w:t xml:space="preserve"> using static boxes that occupy relatively narrow longitudinal </w:t>
      </w:r>
      <w:r w:rsidR="00366E72">
        <w:t xml:space="preserve">and latitudinal </w:t>
      </w:r>
      <w:r w:rsidR="00ED36DD">
        <w:t>range</w:t>
      </w:r>
      <w:r w:rsidR="00404958">
        <w:t>s</w:t>
      </w:r>
      <w:r w:rsidR="00ED36DD">
        <w:t xml:space="preserve"> (</w:t>
      </w:r>
      <w:r w:rsidR="00027FA3">
        <w:t xml:space="preserve">e.g. </w:t>
      </w:r>
      <w:r w:rsidR="00ED36DD">
        <w:t>Ross Sea MPA)</w:t>
      </w:r>
      <w:r w:rsidR="00DD0800">
        <w:t xml:space="preserve">. This difficulty is further exasperated </w:t>
      </w:r>
      <w:r w:rsidR="00ED36DD">
        <w:t>when considering that long-term oceanographic anomalies, such as the Antarctic circumpolar wave</w:t>
      </w:r>
      <w:r w:rsidR="00366E72">
        <w:t xml:space="preserve"> </w:t>
      </w:r>
      <w:r w:rsidR="00366E72">
        <w:fldChar w:fldCharType="begin" w:fldLock="1"/>
      </w:r>
      <w:r w:rsidR="002D710F">
        <w:instrText>ADDIN CSL_CITATION {"citationItems":[{"id":"ITEM-1","itemData":{"DOI":"10.1038/380699a0","ISBN":"0028-0836","ISSN":"00280836","PMID":"6849","abstract":"THE Southern Ocean is the only oceanic domain encircling the globe. It contains the strong eastward flow of the Antarctic Circumpolar Current, and is the unifying link for exchanges of water masses at all depths between the world's major ocean basins1. As these exchanges are an important control on mean global climate, the Southern Ocean is expected to play an important role in transmitting climate anomalies around the globe. Interannual variability has been often observed at high southern latitudes, and observations of sea-ice extent suggest that such features propagate eastwards around the Southern Ocean2,3. Here we use data from a variety of observational techniques to identify significant interannual variations in the atmospheric pressure at sea level, wind stress, sea surface temperature and sea-ice extent over the Southern Ocean. These anomalies propagate eastward with the circumpolar flow, with a period of 4–5 years and taking 8–10 years to encircle the pole. This system of coupled anomalies, which we call the Antarctic Circumpolar Wave, is likely to play an important role in climate regulation and dynamics both within and beyond the Southern Ocean.","author":[{"dropping-particle":"","family":"White","given":"Warren B.","non-dropping-particle":"","parse-names":false,"suffix":""},{"dropping-particle":"","family":"Peterson","given":"Ray G.","non-dropping-particle":"","parse-names":false,"suffix":""}],"container-title":"Nature","id":"ITEM-1","issue":"6576","issued":{"date-parts":[["1996"]]},"page":"699-702","title":"An Antarctic circumpolar wave in surface pressure, wind, temperature and sea-ice extent","type":"article-journal","volume":"380"},"uris":["http://www.mendeley.com/documents/?uuid=75a903cf-be8f-4c4e-8afa-4a46ed3009e3"]}],"mendeley":{"formattedCitation":"(White &amp; Peterson 1996)","plainTextFormattedCitation":"(White &amp; Peterson 1996)","previouslyFormattedCitation":"(White &amp; Peterson 1996)"},"properties":{"noteIndex":0},"schema":"https://github.com/citation-style-language/schema/raw/master/csl-citation.json"}</w:instrText>
      </w:r>
      <w:r w:rsidR="00366E72">
        <w:fldChar w:fldCharType="separate"/>
      </w:r>
      <w:r w:rsidR="002D710F" w:rsidRPr="002D710F">
        <w:rPr>
          <w:noProof/>
        </w:rPr>
        <w:t>(White &amp; Peterson 1996)</w:t>
      </w:r>
      <w:r w:rsidR="00366E72">
        <w:fldChar w:fldCharType="end"/>
      </w:r>
      <w:r w:rsidR="00ED36DD">
        <w:t xml:space="preserve">, may cause </w:t>
      </w:r>
      <w:r w:rsidR="00366E72">
        <w:t>large-scale shifts</w:t>
      </w:r>
      <w:r w:rsidR="00ED36DD">
        <w:t xml:space="preserve"> i</w:t>
      </w:r>
      <w:r w:rsidR="006C71D8">
        <w:t>n</w:t>
      </w:r>
      <w:r w:rsidR="00ED36DD">
        <w:t xml:space="preserve"> production </w:t>
      </w:r>
      <w:r w:rsidR="006C71D8">
        <w:t xml:space="preserve">over relatively short timescales (years) </w:t>
      </w:r>
      <w:r w:rsidR="00ED36DD">
        <w:t>around the continent (see Section 3.2.1). Based on the</w:t>
      </w:r>
      <w:r w:rsidR="00724F82">
        <w:t xml:space="preserve"> latitudinal</w:t>
      </w:r>
      <w:r w:rsidR="00366E72">
        <w:t>ly</w:t>
      </w:r>
      <w:r w:rsidR="00ED36DD">
        <w:t xml:space="preserve"> parallel</w:t>
      </w:r>
      <w:r w:rsidR="00724F82">
        <w:t>,</w:t>
      </w:r>
      <w:r w:rsidR="00ED36DD">
        <w:t xml:space="preserve"> onion-like layer</w:t>
      </w:r>
      <w:r w:rsidR="006C71D8">
        <w:t>s</w:t>
      </w:r>
      <w:r w:rsidR="00ED36DD">
        <w:t xml:space="preserve"> of </w:t>
      </w:r>
      <w:r w:rsidR="00404958">
        <w:t xml:space="preserve">Southern Ocean </w:t>
      </w:r>
      <w:r w:rsidR="00366E72">
        <w:t>fish biomass</w:t>
      </w:r>
      <w:r w:rsidR="00ED36DD">
        <w:t xml:space="preserve"> </w:t>
      </w:r>
      <w:r w:rsidR="00366E72">
        <w:t>predicted in this report</w:t>
      </w:r>
      <w:r w:rsidR="00ED36DD">
        <w:t>, it would perhaps be beneficial to establish multiple</w:t>
      </w:r>
      <w:r w:rsidR="003E46FF">
        <w:t>,</w:t>
      </w:r>
      <w:r w:rsidR="00ED36DD">
        <w:t xml:space="preserve"> longitudinally narrow b</w:t>
      </w:r>
      <w:r w:rsidR="006C71D8">
        <w:t>ut</w:t>
      </w:r>
      <w:r w:rsidR="00ED36DD">
        <w:t xml:space="preserve"> latitudinally broad</w:t>
      </w:r>
      <w:r w:rsidR="003E46FF">
        <w:t>,</w:t>
      </w:r>
      <w:r w:rsidR="00ED36DD">
        <w:t xml:space="preserve"> MPA sites around the continent, positioned in regions that are relatively unstable (i.e. </w:t>
      </w:r>
      <w:r w:rsidR="00724F82">
        <w:t>where fronts are tightly grouped together</w:t>
      </w:r>
      <w:r w:rsidR="00ED36DD">
        <w:t xml:space="preserve">). This would at least </w:t>
      </w:r>
      <w:r w:rsidR="006C71D8">
        <w:t>provide</w:t>
      </w:r>
      <w:r w:rsidR="00ED36DD">
        <w:t xml:space="preserve"> the means to monitor the </w:t>
      </w:r>
      <w:r w:rsidR="00724F82">
        <w:t xml:space="preserve">influence of the </w:t>
      </w:r>
      <w:r w:rsidR="00ED36DD">
        <w:t>more productive outer-ice classes</w:t>
      </w:r>
      <w:r w:rsidR="00404958">
        <w:t xml:space="preserve"> (see Section 3.2.2)</w:t>
      </w:r>
      <w:r w:rsidR="003E46FF">
        <w:t xml:space="preserve"> on the </w:t>
      </w:r>
      <w:r w:rsidR="00404958">
        <w:t>relatively less productive region south of the polar front.</w:t>
      </w:r>
    </w:p>
    <w:p w14:paraId="5A3A7C45" w14:textId="4DF5DC1D" w:rsidR="00DC7400" w:rsidRDefault="00C83D2A" w:rsidP="00DC7400">
      <w:pPr>
        <w:pStyle w:val="Heading2"/>
      </w:pPr>
      <w:bookmarkStart w:id="32" w:name="_Toc2505301"/>
      <w:r>
        <w:t>Model caveats</w:t>
      </w:r>
      <w:bookmarkEnd w:id="32"/>
    </w:p>
    <w:p w14:paraId="0C8A4AAF" w14:textId="617B7D98" w:rsidR="00155AA1" w:rsidRDefault="00155AA1" w:rsidP="00963A28">
      <w:r>
        <w:t xml:space="preserve">The </w:t>
      </w:r>
      <w:r w:rsidR="0000007C">
        <w:t>mesopelagic</w:t>
      </w:r>
      <w:r>
        <w:t xml:space="preserve"> fish habitat model </w:t>
      </w:r>
      <w:r w:rsidR="003E46FF">
        <w:t>presented</w:t>
      </w:r>
      <w:r>
        <w:t xml:space="preserve"> </w:t>
      </w:r>
      <w:r w:rsidR="003E46FF">
        <w:t>here</w:t>
      </w:r>
      <w:r w:rsidR="00724F82">
        <w:t xml:space="preserve"> (Section</w:t>
      </w:r>
      <w:r w:rsidR="003E46FF">
        <w:t>s</w:t>
      </w:r>
      <w:r w:rsidR="00724F82">
        <w:t xml:space="preserve"> 2 and 3)</w:t>
      </w:r>
      <w:r>
        <w:t xml:space="preserve"> is based on the global model of Proud et al. (2017). </w:t>
      </w:r>
      <w:r w:rsidR="003E46FF">
        <w:t>However, in this report we have</w:t>
      </w:r>
      <w:r w:rsidR="00724F82">
        <w:t xml:space="preserve"> we</w:t>
      </w:r>
      <w:r>
        <w:t xml:space="preserve"> have assumed that </w:t>
      </w:r>
      <w:proofErr w:type="gramStart"/>
      <w:r>
        <w:t>the majority of</w:t>
      </w:r>
      <w:proofErr w:type="gramEnd"/>
      <w:r>
        <w:t xml:space="preserve"> </w:t>
      </w:r>
      <w:r w:rsidR="003E46FF">
        <w:t xml:space="preserve">the predicted </w:t>
      </w:r>
      <w:r>
        <w:t>DSL backscatter</w:t>
      </w:r>
      <w:r w:rsidR="003E46FF">
        <w:t xml:space="preserve"> (Equation 1)</w:t>
      </w:r>
      <w:r>
        <w:t xml:space="preserve"> is produced by</w:t>
      </w:r>
      <w:r w:rsidR="003E46FF">
        <w:t xml:space="preserve"> mesopelagic</w:t>
      </w:r>
      <w:r>
        <w:t xml:space="preserve"> fish</w:t>
      </w:r>
      <w:r w:rsidR="003E46FF">
        <w:t>. We have also</w:t>
      </w:r>
      <w:r>
        <w:t xml:space="preserve"> not considered how seasonal changes in sea-ice </w:t>
      </w:r>
      <w:r w:rsidR="003E46FF">
        <w:t xml:space="preserve">coverage </w:t>
      </w:r>
      <w:r>
        <w:t xml:space="preserve">may affect </w:t>
      </w:r>
      <w:r w:rsidR="003E46FF">
        <w:t>mesopelagic fish habitats</w:t>
      </w:r>
      <w:r>
        <w:t xml:space="preserve">. </w:t>
      </w:r>
    </w:p>
    <w:p w14:paraId="0E406C42" w14:textId="319C63D6" w:rsidR="00155AA1" w:rsidRDefault="00155AA1" w:rsidP="00963A28">
      <w:r>
        <w:t>Organisms that has gas bladders dominant the acoustic response of DSLs</w:t>
      </w:r>
      <w:r w:rsidR="00824DDD">
        <w:t xml:space="preserve"> </w:t>
      </w:r>
      <w:r>
        <w:fldChar w:fldCharType="begin" w:fldLock="1"/>
      </w:r>
      <w:r w:rsidR="002D710F">
        <w:instrText>ADDIN CSL_CITATION {"citationItems":[{"id":"ITEM-1","itemData":{"DOI":"10.1093/icesjms/fsy037","ISSN":"1054-3139","author":[{"dropping-particle":"","family":"Proud","given":"Roland","non-dropping-particle":"","parse-names":false,"suffix":""},{"dropping-particle":"","family":"Handegard","given":"Nils Olav","non-dropping-particle":"","parse-names":false,"suffix":""},{"dropping-particle":"","family":"Kloser","given":"Rudy J","non-dropping-particle":"","parse-names":false,"suffix":""},{"dropping-particle":"","family":"Cox","given":"Martin J","non-dropping-particle":"","parse-names":false,"suffix":""},{"dropping-particle":"","family":"Brierley","given":"Andrew S","non-dropping-particle":"","parse-names":false,"suffix":""}],"container-title":"ICES Journal of Marine Science","id":"ITEM-1","issue":"April","issued":{"date-parts":[["2018","4","19"]]},"title":"From siphonophores to deep scattering layers: uncertainty ranges for the estimation of global mesopelagic fish biomass","type":"article-journal"},"uris":["http://www.mendeley.com/documents/?uuid=e8a0fd33-5084-4780-bc38-46edf7bdadc8"]}],"mendeley":{"formattedCitation":"(Proud, Handegard, Kloser, et al. 2018)","manualFormatting":"(Proud et al. 2018)","plainTextFormattedCitation":"(Proud, Handegard, Kloser, et al. 2018)","previouslyFormattedCitation":"(Proud, Handegard, Kloser, et al. 2018)"},"properties":{"noteIndex":0},"schema":"https://github.com/citation-style-language/schema/raw/master/csl-citation.json"}</w:instrText>
      </w:r>
      <w:r>
        <w:fldChar w:fldCharType="separate"/>
      </w:r>
      <w:r w:rsidR="0053041C" w:rsidRPr="0053041C">
        <w:rPr>
          <w:noProof/>
        </w:rPr>
        <w:t>(Proud et al. 2018)</w:t>
      </w:r>
      <w:r>
        <w:fldChar w:fldCharType="end"/>
      </w:r>
      <w:r>
        <w:t xml:space="preserve">. This includes not just </w:t>
      </w:r>
      <w:r w:rsidR="00824DDD">
        <w:t xml:space="preserve">fish with </w:t>
      </w:r>
      <w:r>
        <w:t xml:space="preserve">gas-filled swimbladders but also </w:t>
      </w:r>
      <w:r w:rsidR="00824DDD">
        <w:t>siphonophores (gelatinous macro-zooplankton) which have</w:t>
      </w:r>
      <w:r w:rsidR="006C71D8">
        <w:t xml:space="preserve"> gas-filled pneumatophores</w:t>
      </w:r>
      <w:r>
        <w:t xml:space="preserve">. We currently do not know the extent of siphonophore contribution to total DSL backscatter, but it is likely to be significant </w:t>
      </w:r>
      <w:r>
        <w:fldChar w:fldCharType="begin" w:fldLock="1"/>
      </w:r>
      <w:r w:rsidR="002D710F">
        <w:instrText>ADDIN CSL_CITATION {"citationItems":[{"id":"ITEM-1","itemData":{"DOI":"10.1093/icesjms/fsy037","ISSN":"1054-3139","author":[{"dropping-particle":"","family":"Proud","given":"Roland","non-dropping-particle":"","parse-names":false,"suffix":""},{"dropping-particle":"","family":"Handegard","given":"Nils Olav","non-dropping-particle":"","parse-names":false,"suffix":""},{"dropping-particle":"","family":"Kloser","given":"Rudy J","non-dropping-particle":"","parse-names":false,"suffix":""},{"dropping-particle":"","family":"Cox","given":"Martin J","non-dropping-particle":"","parse-names":false,"suffix":""},{"dropping-particle":"","family":"Brierley","given":"Andrew S","non-dropping-particle":"","parse-names":false,"suffix":""}],"container-title":"ICES Journal of Marine Science","id":"ITEM-1","issue":"April","issued":{"date-parts":[["2018","4","19"]]},"title":"From siphonophores to deep scattering layers: uncertainty ranges for the estimation of global mesopelagic fish biomass","type":"article-journal"},"uris":["http://www.mendeley.com/documents/?uuid=e8a0fd33-5084-4780-bc38-46edf7bdadc8"]}],"mendeley":{"formattedCitation":"(Proud, Handegard, Kloser, et al. 2018)","manualFormatting":"(Proud et al. 2018)","plainTextFormattedCitation":"(Proud, Handegard, Kloser, et al. 2018)","previouslyFormattedCitation":"(Proud, Handegard, Kloser, et al. 2018)"},"properties":{"noteIndex":0},"schema":"https://github.com/citation-style-language/schema/raw/master/csl-citation.json"}</w:instrText>
      </w:r>
      <w:r>
        <w:fldChar w:fldCharType="separate"/>
      </w:r>
      <w:r w:rsidR="0053041C" w:rsidRPr="0053041C">
        <w:rPr>
          <w:noProof/>
        </w:rPr>
        <w:t>(Proud et al. 2018)</w:t>
      </w:r>
      <w:r>
        <w:fldChar w:fldCharType="end"/>
      </w:r>
      <w:r>
        <w:t xml:space="preserve">. </w:t>
      </w:r>
      <w:r w:rsidR="006C71D8">
        <w:t>O</w:t>
      </w:r>
      <w:r>
        <w:t>ther larger scatterers</w:t>
      </w:r>
      <w:r w:rsidR="00824DDD">
        <w:t>,</w:t>
      </w:r>
      <w:r>
        <w:t xml:space="preserve"> such as jellyfish and squid</w:t>
      </w:r>
      <w:r w:rsidR="00824DDD">
        <w:t>,</w:t>
      </w:r>
      <w:r>
        <w:t xml:space="preserve"> may also contribute a </w:t>
      </w:r>
      <w:r>
        <w:lastRenderedPageBreak/>
        <w:t>large proportion of DSL backscatter</w:t>
      </w:r>
      <w:r w:rsidR="006C71D8">
        <w:t>,</w:t>
      </w:r>
      <w:r w:rsidR="00824DDD">
        <w:t xml:space="preserve"> in the absence of swimbladdered fish</w:t>
      </w:r>
      <w:r w:rsidR="002D710F">
        <w:t xml:space="preserve"> </w:t>
      </w:r>
      <w:r w:rsidR="002D710F">
        <w:fldChar w:fldCharType="begin" w:fldLock="1"/>
      </w:r>
      <w:r w:rsidR="002D710F">
        <w:instrText>ADDIN CSL_CITATION {"citationItems":[{"id":"ITEM-1","itemData":{"author":[{"dropping-particle":"","family":"Proud","given":"R","non-dropping-particle":"","parse-names":false,"suffix":""},{"dropping-particle":"","family":"Handegard","given":"N.O.","non-dropping-particle":"","parse-names":false,"suffix":""},{"dropping-particle":"","family":"Lehodey","given":"P.","non-dropping-particle":"","parse-names":false,"suffix":""},{"dropping-particle":"","family":"Fulton","given":"E. A.","non-dropping-particle":"","parse-names":false,"suffix":""},{"dropping-particle":"","family":"Pethybridge","given":"H. R.","non-dropping-particle":"","parse-names":false,"suffix":""},{"dropping-particle":"","family":"Constable","given":"A. J.","non-dropping-particle":"","parse-names":false,"suffix":""},{"dropping-particle":"","family":"Kloser","given":"R.J.","non-dropping-particle":"","parse-names":false,"suffix":""}],"id":"ITEM-1","issued":{"date-parts":[["2018"]]},"number-of-pages":"20","title":"Documentation of the definition of taxonomic/functional/energetic group in MESOPP models in relation to existing acoustic information. Report from the EU-H2020 MESOPP project, MESOPP-18-0001","type":"report"},"uris":["http://www.mendeley.com/documents/?uuid=e32c7873-3992-4c0f-8337-1d5d8198785a"]}],"mendeley":{"formattedCitation":"(Proud, Handegard, Lehodey, et al. 2018)","plainTextFormattedCitation":"(Proud, Handegard, Lehodey, et al. 2018)","previouslyFormattedCitation":"(Proud, Handegard, Lehodey, et al. 2018)"},"properties":{"noteIndex":0},"schema":"https://github.com/citation-style-language/schema/raw/master/csl-citation.json"}</w:instrText>
      </w:r>
      <w:r w:rsidR="002D710F">
        <w:fldChar w:fldCharType="separate"/>
      </w:r>
      <w:r w:rsidR="002D710F" w:rsidRPr="002D710F">
        <w:rPr>
          <w:noProof/>
        </w:rPr>
        <w:t>(Proud, Handegard, Lehodey, et al. 2018)</w:t>
      </w:r>
      <w:r w:rsidR="002D710F">
        <w:fldChar w:fldCharType="end"/>
      </w:r>
      <w:r w:rsidR="00824DDD">
        <w:t>.</w:t>
      </w:r>
      <w:r w:rsidR="0000007C">
        <w:t xml:space="preserve"> </w:t>
      </w:r>
    </w:p>
    <w:p w14:paraId="7D5B861A" w14:textId="08626429" w:rsidR="0094539C" w:rsidRDefault="0000007C" w:rsidP="00D0386F">
      <w:r>
        <w:t xml:space="preserve">Sea-ice coverage changes substantially over the annual cycle (see maximum and minimum extent in Figures 1-6). Although we can take an average PP value for regions within the sea-ice zone, we do not </w:t>
      </w:r>
      <w:r w:rsidR="000F6DA9">
        <w:t xml:space="preserve">presently </w:t>
      </w:r>
      <w:proofErr w:type="gramStart"/>
      <w:r>
        <w:t>take into account</w:t>
      </w:r>
      <w:proofErr w:type="gramEnd"/>
      <w:r>
        <w:t xml:space="preserve"> the impact that phytoplankton, which is trapped with</w:t>
      </w:r>
      <w:r w:rsidR="000F6DA9">
        <w:t>in</w:t>
      </w:r>
      <w:r>
        <w:t xml:space="preserve"> sea-ice during formation, has on the underlying </w:t>
      </w:r>
      <w:r w:rsidR="00401952">
        <w:t>mesopelagic</w:t>
      </w:r>
      <w:r>
        <w:t xml:space="preserve"> fish population. Sea-ice algae is slowly consumed during the winter by larva</w:t>
      </w:r>
      <w:r w:rsidR="000F6DA9">
        <w:t>l</w:t>
      </w:r>
      <w:r>
        <w:t>/juvenile krill that cannot sustain long periods of starvation (unlike adult kril</w:t>
      </w:r>
      <w:r w:rsidR="006C71D8">
        <w:t>l</w:t>
      </w:r>
      <w:r>
        <w:t xml:space="preserve">). </w:t>
      </w:r>
      <w:r w:rsidR="000F6DA9">
        <w:t xml:space="preserve">The algae </w:t>
      </w:r>
      <w:r w:rsidR="000A4FF6">
        <w:t>are</w:t>
      </w:r>
      <w:r>
        <w:t xml:space="preserve"> accessed </w:t>
      </w:r>
      <w:r w:rsidR="003E46FF">
        <w:t xml:space="preserve">mainly during the daytime </w:t>
      </w:r>
      <w:r>
        <w:t>through brine channels on the underside of the sea-ice</w:t>
      </w:r>
      <w:r w:rsidR="000F6DA9">
        <w:t>; at night, krill have been observed to detach from the ice and feed in the water-column.</w:t>
      </w:r>
      <w:r>
        <w:t xml:space="preserve"> This carbon</w:t>
      </w:r>
      <w:r w:rsidR="000F6DA9">
        <w:t>-</w:t>
      </w:r>
      <w:r w:rsidR="007F0BB0">
        <w:t>retention</w:t>
      </w:r>
      <w:r w:rsidR="00401952">
        <w:t xml:space="preserve"> at the surface</w:t>
      </w:r>
      <w:r>
        <w:t xml:space="preserve"> (that would </w:t>
      </w:r>
      <w:r w:rsidR="000F6DA9">
        <w:t>have</w:t>
      </w:r>
      <w:r>
        <w:t xml:space="preserve"> otherwise </w:t>
      </w:r>
      <w:r w:rsidR="00401952">
        <w:t>been lost to the deep ocean</w:t>
      </w:r>
      <w:r w:rsidR="000F6DA9">
        <w:t xml:space="preserve"> were it not trapped in the ice</w:t>
      </w:r>
      <w:r w:rsidR="00401952">
        <w:t xml:space="preserve">) </w:t>
      </w:r>
      <w:r w:rsidR="000F6DA9">
        <w:t xml:space="preserve">could </w:t>
      </w:r>
      <w:r w:rsidR="00401952">
        <w:t>provide additional sustenance to the mesopelagic community</w:t>
      </w:r>
      <w:r w:rsidR="000A4FF6">
        <w:t xml:space="preserve"> </w:t>
      </w:r>
      <w:r w:rsidR="000A4FF6">
        <w:fldChar w:fldCharType="begin" w:fldLock="1"/>
      </w:r>
      <w:r w:rsidR="002D710F">
        <w:instrText>ADDIN CSL_CITATION {"citationItems":[{"id":"ITEM-1","itemData":{"DOI":"10.1038/s41559-017-0368-3","ISBN":"4155901703683","ISSN":"2397334X","abstract":"A dominant Antarctic ecological paradigm suggests that winter sea ice is generally the main feeding ground for krill larvae. Observations from our winter cruise to the southwest Atlantic sector of the Southern Ocean contradict this view and present the first evidence that the pack-ice zone is a food-poor habitat for larval development. In contrast, the more open marginal ice zone provides a more favourable food environment for high larval krill growth rates. We found that complex under-ice habitats are, however, vital for larval krill when water column productivity is limited by light, by providing structures that offer protection from predators and to collect organic material released from the ice. The larvae feed on this sparse ice-associated food during the day. After sunset, they migrate into the water below the ice (upper 20 m) and drift away from the ice areas where they have previously fed. Model analyses indicate that this behaviour increases both food uptake in a patchy food environment and the likelihood of overwinter transport to areas where feeding conditions are more favourable in spring.","author":[{"dropping-particle":"","family":"Meyer","given":"Bettina","non-dropping-particle":"","parse-names":false,"suffix":""},{"dropping-particle":"","family":"Freier","given":"Ulrich","non-dropping-particle":"","parse-names":false,"suffix":""},{"dropping-particle":"","family":"Grimm","given":"Volker","non-dropping-particle":"","parse-names":false,"suffix":""},{"dropping-particle":"","family":"Groeneveld","given":"Jürgen","non-dropping-particle":"","parse-names":false,"suffix":""},{"dropping-particle":"","family":"Hunt","given":"Brian P.V.","non-dropping-particle":"","parse-names":false,"suffix":""},{"dropping-particle":"","family":"Kerwath","given":"Sven","non-dropping-particle":"","parse-names":false,"suffix":""},{"dropping-particle":"","family":"King","given":"Rob","non-dropping-particle":"","parse-names":false,"suffix":""},{"dropping-particle":"","family":"Klaas","given":"Christine","non-dropping-particle":"","parse-names":false,"suffix":""},{"dropping-particle":"","family":"Pakhomov","given":"Evgeny","non-dropping-particle":"","parse-names":false,"suffix":""},{"dropping-particle":"","family":"Meiners","given":"Klaus M.","non-dropping-particle":"","parse-names":false,"suffix":""},{"dropping-particle":"","family":"Melbourne-Thomas","given":"Jessica","non-dropping-particle":"","parse-names":false,"suffix":""},{"dropping-particle":"","family":"Murphy","given":"Eugene J.","non-dropping-particle":"","parse-names":false,"suffix":""},{"dropping-particle":"","family":"Thorpe","given":"Sally E.","non-dropping-particle":"","parse-names":false,"suffix":""},{"dropping-particle":"","family":"Stammerjohn","given":"Sharon","non-dropping-particle":"","parse-names":false,"suffix":""},{"dropping-particle":"","family":"Wolf-Gladrow","given":"Dieter","non-dropping-particle":"","parse-names":false,"suffix":""},{"dropping-particle":"","family":"Auerswald","given":"Lutz","non-dropping-particle":"","parse-names":false,"suffix":""},{"dropping-particle":"","family":"Götz","given":"Albrecht","non-dropping-particle":"","parse-names":false,"suffix":""},{"dropping-particle":"","family":"Halbach","given":"Laura","non-dropping-particle":"","parse-names":false,"suffix":""},{"dropping-particle":"","family":"Jarman","given":"Simon","non-dropping-particle":"","parse-names":false,"suffix":""},{"dropping-particle":"","family":"Kawaguchi","given":"So","non-dropping-particle":"","parse-names":false,"suffix":""},{"dropping-particle":"","family":"Krumpen","given":"Thomas","non-dropping-particle":"","parse-names":false,"suffix":""},{"dropping-particle":"","family":"Nehrke","given":"Gernot","non-dropping-particle":"","parse-names":false,"suffix":""},{"dropping-particle":"","family":"Ricker","given":"Robert","non-dropping-particle":"","parse-names":false,"suffix":""},{"dropping-particle":"","family":"Sumner","given":"Michael","non-dropping-particle":"","parse-names":false,"suffix":""},{"dropping-particle":"","family":"Teschke","given":"Mathias","non-dropping-particle":"","parse-names":false,"suffix":""},{"dropping-particle":"","family":"Trebilco","given":"Rowan","non-dropping-particle":"","parse-names":false,"suffix":""},{"dropping-particle":"","family":"Yilmaz","given":"Noyan I.","non-dropping-particle":"","parse-names":false,"suffix":""}],"container-title":"Nature Ecology and Evolution","id":"ITEM-1","issue":"12","issued":{"date-parts":[["2017"]]},"page":"1853-1861","title":"The winter pack-ice zone provides a sheltered but food-poor habitat for larval Antarctic krill","type":"article-journal","volume":"1"},"uris":["http://www.mendeley.com/documents/?uuid=5e74c959-d2ec-4da5-862e-f29756e6e339"]}],"mendeley":{"formattedCitation":"(Meyer et al. 2017)","plainTextFormattedCitation":"(Meyer et al. 2017)","previouslyFormattedCitation":"(Meyer et al. 2017)"},"properties":{"noteIndex":0},"schema":"https://github.com/citation-style-language/schema/raw/master/csl-citation.json"}</w:instrText>
      </w:r>
      <w:r w:rsidR="000A4FF6">
        <w:fldChar w:fldCharType="separate"/>
      </w:r>
      <w:r w:rsidR="002D710F" w:rsidRPr="002D710F">
        <w:rPr>
          <w:noProof/>
        </w:rPr>
        <w:t>(Meyer et al. 2017)</w:t>
      </w:r>
      <w:r w:rsidR="000A4FF6">
        <w:fldChar w:fldCharType="end"/>
      </w:r>
      <w:r w:rsidR="00401952">
        <w:t xml:space="preserve">. </w:t>
      </w:r>
      <w:r w:rsidR="000F6DA9">
        <w:t>Consequently, t</w:t>
      </w:r>
      <w:r w:rsidR="00401952">
        <w:t xml:space="preserve">his would mean that </w:t>
      </w:r>
      <w:r w:rsidR="000F6DA9">
        <w:t>the</w:t>
      </w:r>
      <w:r w:rsidR="00401952">
        <w:t xml:space="preserve"> </w:t>
      </w:r>
      <w:r w:rsidR="00BE780C">
        <w:t xml:space="preserve">habitat </w:t>
      </w:r>
      <w:r w:rsidR="00401952">
        <w:t xml:space="preserve">model </w:t>
      </w:r>
      <w:r w:rsidR="000F6DA9">
        <w:t xml:space="preserve">presented in this report, </w:t>
      </w:r>
      <w:r w:rsidR="00990A12">
        <w:t>currently</w:t>
      </w:r>
      <w:r w:rsidR="000F6DA9">
        <w:t xml:space="preserve"> underestimate</w:t>
      </w:r>
      <w:r w:rsidR="00BE780C">
        <w:t>s</w:t>
      </w:r>
      <w:r w:rsidR="000F6DA9">
        <w:t xml:space="preserve"> </w:t>
      </w:r>
      <w:r w:rsidR="00401952">
        <w:t xml:space="preserve">the effective amount of </w:t>
      </w:r>
      <w:r w:rsidR="000F6DA9">
        <w:t>PP</w:t>
      </w:r>
      <w:r w:rsidR="00401952">
        <w:t xml:space="preserve"> (accessible to the surface community) within the sea-ice zone. This </w:t>
      </w:r>
      <w:r w:rsidR="007F0BB0">
        <w:t>is consistent with</w:t>
      </w:r>
      <w:r w:rsidR="00401952">
        <w:t xml:space="preserve"> </w:t>
      </w:r>
      <w:r w:rsidR="007F0BB0">
        <w:t xml:space="preserve">the </w:t>
      </w:r>
      <w:r w:rsidR="00401952">
        <w:t>observation</w:t>
      </w:r>
      <w:r w:rsidR="007F0BB0">
        <w:t xml:space="preserve"> made by </w:t>
      </w:r>
      <w:r w:rsidR="007F0BB0">
        <w:fldChar w:fldCharType="begin" w:fldLock="1"/>
      </w:r>
      <w:r w:rsidR="002D710F">
        <w:instrText>ADDIN CSL_CITATION {"citationItems":[{"id":"ITEM-1","itemData":{"DOI":"10.1086/695767","ISSN":"0003-0147","author":[{"dropping-particle":"","family":"Saunders","given":"Ryan A.","non-dropping-particle":"","parse-names":false,"suffix":""},{"dropping-particle":"","family":"Tarling","given":"Geraint A.","non-dropping-particle":"","parse-names":false,"suffix":""}],"container-title":"The American Naturalist","id":"ITEM-1","issue":"3","issued":{"date-parts":[["2018","3","21"]]},"page":"343-351","title":"Southern Ocean Mesopelagic Fish Comply with Bergmann’s Rule","type":"article-journal","volume":"191"},"uris":["http://www.mendeley.com/documents/?uuid=95ecc61e-cff8-4f95-a930-87a5473499ec"]}],"mendeley":{"formattedCitation":"(Saunders &amp; Tarling 2018)","manualFormatting":"Saunders and Tarling (2018)","plainTextFormattedCitation":"(Saunders &amp; Tarling 2018)","previouslyFormattedCitation":"(Saunders &amp; Tarling 2018)"},"properties":{"noteIndex":0},"schema":"https://github.com/citation-style-language/schema/raw/master/csl-citation.json"}</w:instrText>
      </w:r>
      <w:r w:rsidR="007F0BB0">
        <w:fldChar w:fldCharType="separate"/>
      </w:r>
      <w:r w:rsidR="007F0BB0" w:rsidRPr="007F0BB0">
        <w:rPr>
          <w:noProof/>
        </w:rPr>
        <w:t xml:space="preserve">Saunders </w:t>
      </w:r>
      <w:r w:rsidR="007F0BB0">
        <w:rPr>
          <w:noProof/>
        </w:rPr>
        <w:t>and</w:t>
      </w:r>
      <w:r w:rsidR="007F0BB0" w:rsidRPr="007F0BB0">
        <w:rPr>
          <w:noProof/>
        </w:rPr>
        <w:t xml:space="preserve"> Tarling </w:t>
      </w:r>
      <w:r w:rsidR="007F0BB0">
        <w:rPr>
          <w:noProof/>
        </w:rPr>
        <w:t>(</w:t>
      </w:r>
      <w:r w:rsidR="007F0BB0" w:rsidRPr="007F0BB0">
        <w:rPr>
          <w:noProof/>
        </w:rPr>
        <w:t>2018)</w:t>
      </w:r>
      <w:r w:rsidR="007F0BB0">
        <w:fldChar w:fldCharType="end"/>
      </w:r>
      <w:r w:rsidR="007F0BB0">
        <w:t>, where they found that</w:t>
      </w:r>
      <w:r w:rsidR="00401952">
        <w:t xml:space="preserve"> </w:t>
      </w:r>
      <w:r w:rsidR="007F0BB0">
        <w:t xml:space="preserve">the size of </w:t>
      </w:r>
      <w:r w:rsidR="00401952">
        <w:t>mesopelagic fish increas</w:t>
      </w:r>
      <w:r w:rsidR="007F0BB0">
        <w:t>ed</w:t>
      </w:r>
      <w:r w:rsidR="00401952">
        <w:t xml:space="preserve"> towards the continent</w:t>
      </w:r>
      <w:r w:rsidR="000F6DA9">
        <w:t xml:space="preserve"> (i.e. within the sea-ice zone)</w:t>
      </w:r>
      <w:r w:rsidR="00401952">
        <w:t>, following Bergmann’s Rule.</w:t>
      </w:r>
    </w:p>
    <w:p w14:paraId="52DE765F" w14:textId="3B28F469" w:rsidR="002B4C84" w:rsidRDefault="00AC011B" w:rsidP="00D7758E">
      <w:pPr>
        <w:pStyle w:val="Heading2"/>
      </w:pPr>
      <w:bookmarkStart w:id="33" w:name="_Toc2505302"/>
      <w:r>
        <w:t>Way forward</w:t>
      </w:r>
      <w:bookmarkEnd w:id="33"/>
    </w:p>
    <w:p w14:paraId="0170BB36" w14:textId="5F117F2C" w:rsidR="00401952" w:rsidRDefault="000109BE" w:rsidP="000D46B8">
      <w:r>
        <w:rPr>
          <w:lang w:eastAsia="nb-NO"/>
        </w:rPr>
        <w:t xml:space="preserve">To improve on the </w:t>
      </w:r>
      <w:r w:rsidR="00DE4127">
        <w:rPr>
          <w:lang w:eastAsia="nb-NO"/>
        </w:rPr>
        <w:t xml:space="preserve">mesopelagic fish habitat </w:t>
      </w:r>
      <w:r>
        <w:rPr>
          <w:lang w:eastAsia="nb-NO"/>
        </w:rPr>
        <w:t>model described in this report</w:t>
      </w:r>
      <w:r w:rsidR="0094539C">
        <w:rPr>
          <w:lang w:eastAsia="nb-NO"/>
        </w:rPr>
        <w:t xml:space="preserve"> more data need to be collected within the </w:t>
      </w:r>
      <w:r w:rsidR="00593DFD">
        <w:rPr>
          <w:lang w:eastAsia="nb-NO"/>
        </w:rPr>
        <w:t xml:space="preserve">Southern Ocean </w:t>
      </w:r>
      <w:r w:rsidR="0094539C">
        <w:rPr>
          <w:lang w:eastAsia="nb-NO"/>
        </w:rPr>
        <w:t>sea-ice zone</w:t>
      </w:r>
      <w:r w:rsidR="00593DFD">
        <w:rPr>
          <w:lang w:eastAsia="nb-NO"/>
        </w:rPr>
        <w:t xml:space="preserve"> during the winter</w:t>
      </w:r>
      <w:r w:rsidR="0094539C">
        <w:rPr>
          <w:lang w:eastAsia="nb-NO"/>
        </w:rPr>
        <w:t xml:space="preserve"> (e.g. using AUVs/ROVs)</w:t>
      </w:r>
      <w:r w:rsidR="00593DFD">
        <w:rPr>
          <w:lang w:eastAsia="nb-NO"/>
        </w:rPr>
        <w:t>,</w:t>
      </w:r>
      <w:r w:rsidR="0094539C">
        <w:rPr>
          <w:lang w:eastAsia="nb-NO"/>
        </w:rPr>
        <w:t xml:space="preserve"> to ascertain transfer efficiencies between sea-ice algae and mesopelagic fish. </w:t>
      </w:r>
      <w:r w:rsidR="006C71D8">
        <w:rPr>
          <w:lang w:eastAsia="nb-NO"/>
        </w:rPr>
        <w:t xml:space="preserve">Also, </w:t>
      </w:r>
      <w:r w:rsidR="006C71D8">
        <w:t>m</w:t>
      </w:r>
      <w:r w:rsidR="0094539C">
        <w:t xml:space="preserve">ultiple frequency/broadband </w:t>
      </w:r>
      <w:r w:rsidR="006C71D8">
        <w:t xml:space="preserve">acoustic </w:t>
      </w:r>
      <w:r w:rsidR="0094539C">
        <w:t>systems</w:t>
      </w:r>
      <w:r w:rsidR="00BE780C">
        <w:t xml:space="preserve"> (as opposed to the single frequency 38 kHz </w:t>
      </w:r>
      <w:r w:rsidR="006E2E6D">
        <w:t xml:space="preserve">echosounder </w:t>
      </w:r>
      <w:r w:rsidR="00BE780C">
        <w:t xml:space="preserve">observations used in </w:t>
      </w:r>
      <w:r w:rsidR="006E2E6D">
        <w:t>the Proud et al., 2017 model</w:t>
      </w:r>
      <w:r w:rsidR="00BE780C">
        <w:t>)</w:t>
      </w:r>
      <w:r w:rsidR="0094539C">
        <w:t xml:space="preserve"> </w:t>
      </w:r>
      <w:r w:rsidR="006C71D8">
        <w:t>could</w:t>
      </w:r>
      <w:r w:rsidR="0094539C">
        <w:t xml:space="preserve"> be used in conjunction with acoustic scattering models to distinguish between gas-bladdered fish and other scattering groups</w:t>
      </w:r>
      <w:r w:rsidR="00F7182D">
        <w:t xml:space="preserve"> </w:t>
      </w:r>
      <w:r w:rsidR="00F7182D">
        <w:fldChar w:fldCharType="begin" w:fldLock="1"/>
      </w:r>
      <w:r w:rsidR="002D710F">
        <w:instrText>ADDIN CSL_CITATION {"citationItems":[{"id":"ITEM-1","itemData":{"author":[{"dropping-particle":"","family":"Stanton","given":"Timothy K","non-dropping-particle":"","parse-names":false,"suffix":""},{"dropping-particle":"","family":"Chu","given":"Dezhang","non-dropping-particle":"","parse-names":false,"suffix":""},{"dropping-particle":"","family":"Jech","given":"Michael J","non-dropping-particle":"","parse-names":false,"suffix":""},{"dropping-particle":"","family":"Irish","given":"James D","non-dropping-particle":"","parse-names":false,"suffix":""}],"container-title":"ICES Journal of Marine Science","id":"ITEM-1","issued":{"date-parts":[["2010"]]},"page":"365-378","title":"New broadband methods for resonance classification and high-resolution imagery of fish with swimbladders using a modified commercial broadband echosounder","type":"article-journal","volume":"67"},"uris":["http://www.mendeley.com/documents/?uuid=bae96e64-06a3-40a4-9034-9f7f9fb7f720"]}],"mendeley":{"formattedCitation":"(Stanton et al. 2010)","plainTextFormattedCitation":"(Stanton et al. 2010)","previouslyFormattedCitation":"(Stanton et al. 2010)"},"properties":{"noteIndex":0},"schema":"https://github.com/citation-style-language/schema/raw/master/csl-citation.json"}</w:instrText>
      </w:r>
      <w:r w:rsidR="00F7182D">
        <w:fldChar w:fldCharType="separate"/>
      </w:r>
      <w:r w:rsidR="002D710F" w:rsidRPr="002D710F">
        <w:rPr>
          <w:noProof/>
        </w:rPr>
        <w:t>(Stanton et al. 2010)</w:t>
      </w:r>
      <w:r w:rsidR="00F7182D">
        <w:fldChar w:fldCharType="end"/>
      </w:r>
      <w:r w:rsidR="00404958">
        <w:t>. Recently, we have collected 12 kHz (low-frequency) echosounder data on the Antarctic circumnavigation expedition (ACE). If we can derive an equation (similar to equation 1</w:t>
      </w:r>
      <w:r w:rsidR="00C83147">
        <w:t xml:space="preserve"> based on 38 kHz data</w:t>
      </w:r>
      <w:r w:rsidR="00404958">
        <w:t>) for 12 kHz data, then we could potentially combine the t</w:t>
      </w:r>
      <w:r w:rsidR="00C83147">
        <w:t>wo,</w:t>
      </w:r>
      <w:r w:rsidR="00404958">
        <w:t xml:space="preserve"> to improve the partitioning</w:t>
      </w:r>
      <w:r w:rsidR="00C83147">
        <w:t xml:space="preserve"> method; at different frequencies we observe different views of the same system e.g. at the lower frequency</w:t>
      </w:r>
      <w:r w:rsidR="007F0BB0">
        <w:t xml:space="preserve"> (12 kHz)</w:t>
      </w:r>
      <w:r w:rsidR="00C83147">
        <w:t xml:space="preserve">,  fluid-filled zooplankton do not contribute significantly to observed backscatter </w:t>
      </w:r>
      <w:r w:rsidR="007F0BB0">
        <w:t>because they are relatively small (mm’s - cm’s) compared to the wavelength of the sound wave (c. 12.5 cm).</w:t>
      </w:r>
      <w:r w:rsidR="00C83147">
        <w:t xml:space="preserve"> </w:t>
      </w:r>
      <w:r w:rsidR="007F0BB0">
        <w:t>Analysis of data collected using these</w:t>
      </w:r>
      <w:r w:rsidR="0094539C">
        <w:t xml:space="preserve"> methods </w:t>
      </w:r>
      <w:r w:rsidR="00BE780C">
        <w:t xml:space="preserve">could potentially </w:t>
      </w:r>
      <w:r w:rsidR="007F0BB0">
        <w:t>lead to</w:t>
      </w:r>
      <w:r w:rsidR="00BE780C">
        <w:t xml:space="preserve"> a</w:t>
      </w:r>
      <w:r w:rsidR="0094539C">
        <w:t xml:space="preserve"> relationship between environmental variables (e.g. temperature and</w:t>
      </w:r>
      <w:r w:rsidR="00593DFD">
        <w:t xml:space="preserve"> primary</w:t>
      </w:r>
      <w:r w:rsidR="0094539C">
        <w:t xml:space="preserve"> production) and mesopelagic fish biomass</w:t>
      </w:r>
      <w:r w:rsidR="00BE780C">
        <w:t xml:space="preserve"> (not just DSL echo intensity)</w:t>
      </w:r>
      <w:r w:rsidR="0094539C">
        <w:t xml:space="preserve"> and </w:t>
      </w:r>
      <w:r w:rsidR="007F0BB0">
        <w:t>hence improve</w:t>
      </w:r>
      <w:r w:rsidR="0094539C">
        <w:t xml:space="preserve"> habitat modelling. </w:t>
      </w:r>
      <w:r w:rsidR="007F0BB0">
        <w:t>Observation systems,</w:t>
      </w:r>
      <w:r w:rsidR="007F0BB0" w:rsidRPr="007F0BB0">
        <w:t xml:space="preserve"> </w:t>
      </w:r>
      <w:r w:rsidR="007F0BB0">
        <w:t xml:space="preserve">which are equipped with paired optical/acoustic instruments, </w:t>
      </w:r>
      <w:r w:rsidR="0094539C">
        <w:t xml:space="preserve">are now being </w:t>
      </w:r>
      <w:r w:rsidR="00593DFD">
        <w:t xml:space="preserve">developed </w:t>
      </w:r>
      <w:r w:rsidR="00593DFD">
        <w:fldChar w:fldCharType="begin" w:fldLock="1"/>
      </w:r>
      <w:r w:rsidR="002D710F">
        <w:instrText>ADDIN CSL_CITATION {"citationItems":[{"id":"ITEM-1","itemData":{"DOI":"10.1109/OCEANSAP.2016.7485399","ISBN":"978-1-4673-9724-7","author":[{"dropping-particle":"","family":"Marouchos","given":"Andreas","non-dropping-particle":"","parse-names":false,"suffix":""},{"dropping-particle":"","family":"Sherlock","given":"Matthew","non-dropping-particle":"","parse-names":false,"suffix":""},{"dropping-particle":"","family":"Kloser","given":"Rudy","non-dropping-particle":"","parse-names":false,"suffix":""},{"dropping-particle":"","family":"Ryan","given":"Tim","non-dropping-particle":"","parse-names":false,"suffix":""},{"dropping-particle":"","family":"Cordell","given":"Jeff","non-dropping-particle":"","parse-names":false,"suffix":""}],"container-title":"OCEANS 2016 - Shanghai","id":"ITEM-1","issued":{"date-parts":[["2016","4"]]},"page":"1-6","publisher":"IEEE","title":"A profiling acoustic and optical system (pAOS) for pelagic studies; Prototype development and testing","type":"paper-conference"},"uris":["http://www.mendeley.com/documents/?uuid=37e6d026-50f1-4406-95aa-d21fe2552fd7"]}],"mendeley":{"formattedCitation":"(Marouchos et al. 2016)","manualFormatting":"(e.g. Marouchos et al. 2016)","plainTextFormattedCitation":"(Marouchos et al. 2016)","previouslyFormattedCitation":"(Marouchos et al. 2016)"},"properties":{"noteIndex":0},"schema":"https://github.com/citation-style-language/schema/raw/master/csl-citation.json"}</w:instrText>
      </w:r>
      <w:r w:rsidR="00593DFD">
        <w:fldChar w:fldCharType="separate"/>
      </w:r>
      <w:r w:rsidR="00593DFD" w:rsidRPr="00593DFD">
        <w:rPr>
          <w:noProof/>
        </w:rPr>
        <w:t>(</w:t>
      </w:r>
      <w:r w:rsidR="00593DFD">
        <w:rPr>
          <w:noProof/>
        </w:rPr>
        <w:t xml:space="preserve">e.g. </w:t>
      </w:r>
      <w:r w:rsidR="00593DFD" w:rsidRPr="00593DFD">
        <w:rPr>
          <w:noProof/>
        </w:rPr>
        <w:t>Marouchos et al. 2016)</w:t>
      </w:r>
      <w:r w:rsidR="00593DFD">
        <w:fldChar w:fldCharType="end"/>
      </w:r>
      <w:r w:rsidR="00593DFD">
        <w:t xml:space="preserve"> and </w:t>
      </w:r>
      <w:r w:rsidR="0094539C">
        <w:t xml:space="preserve">deployed </w:t>
      </w:r>
      <w:r w:rsidR="00593DFD">
        <w:fldChar w:fldCharType="begin" w:fldLock="1"/>
      </w:r>
      <w:r w:rsidR="002D710F">
        <w:instrText>ADDIN CSL_CITATION {"citationItems":[{"id":"ITEM-1","itemData":{"DOI":"10.1093/icesjms/fsv257","ISBN":"4690786631","ISSN":"1054-3139","abstract":"Estimatingthe biomass of gas-bladderedorganisms in the mesopelagicoceanis a simple first stepto understanding ecosystemstructure.Anexisting two-frequency (38 and 120 kHz) acoustic and optical probe was lowered to 950 mto estimate the number and size of gas-bladders. In situ target strengths from 38 and 120 kHz and their difference were compared with those of a gas-bladder resonance-scattering model. Predicted mean equivalent spherical radius gas-bladder size varied with depth, ranging from 2.1 mm(shallow) to 0.6 mm(deep). Density of night-time organisms varied throughout thewater column andwere highest (0.019 m23) in the 200–300 mdepth range. Predictions of 38 kHz volume-backscattering strength(Sv)fromthe density of gas-bladderedorganisms could explain88%of the vessel’s38 kHzSv at this location (S 40.9, E 166.7).Catchretained by trawls highlighted the presence of gas-bladdered fish of a similar size range but different densities while optical measurements highlighted the depth distribution and biomass of gas-inclusion siphonophores. Organism behaviourandgear selectivity limits the validation of acoustic estimates. Simultaneous optical verification of multifrequencyor broadbandacoustic targets atdepth are required toverify the species, their sizeandbiomass.","author":[{"dropping-particle":"","family":"Kloser","given":"Rudy J.","non-dropping-particle":"","parse-names":false,"suffix":""},{"dropping-particle":"","family":"Ryan","given":"Tim E.","non-dropping-particle":"","parse-names":false,"suffix":""},{"dropping-particle":"","family":"Keith","given":"Gordon","non-dropping-particle":"","parse-names":false,"suffix":""},{"dropping-particle":"","family":"Gershwin","given":"Lisa","non-dropping-particle":"","parse-names":false,"suffix":""}],"container-title":"ICES Journal of Marine Science: Journal du Conseil","id":"ITEM-1","issue":"8","issued":{"date-parts":[["2016","9"]]},"page":"2037-2048","title":"Deep-scattering layer, gas-bladder density, and size estimates using a two-frequency acoustic and optical probe","type":"article-journal","volume":"73"},"uris":["http://www.mendeley.com/documents/?uuid=a6215466-7e77-4b63-a528-77db50bb1a3c"]}],"mendeley":{"formattedCitation":"(Kloser et al. 2016)","plainTextFormattedCitation":"(Kloser et al. 2016)","previouslyFormattedCitation":"(Kloser et al. 2016)"},"properties":{"noteIndex":0},"schema":"https://github.com/citation-style-language/schema/raw/master/csl-citation.json"}</w:instrText>
      </w:r>
      <w:r w:rsidR="00593DFD">
        <w:fldChar w:fldCharType="separate"/>
      </w:r>
      <w:r w:rsidR="002D710F" w:rsidRPr="002D710F">
        <w:rPr>
          <w:noProof/>
        </w:rPr>
        <w:t>(Kloser et al. 2016)</w:t>
      </w:r>
      <w:r w:rsidR="00593DFD">
        <w:fldChar w:fldCharType="end"/>
      </w:r>
      <w:r w:rsidR="0094539C">
        <w:t xml:space="preserve">. Making </w:t>
      </w:r>
      <w:r w:rsidR="0094539C" w:rsidRPr="0094539C">
        <w:rPr>
          <w:i/>
        </w:rPr>
        <w:t>in situ</w:t>
      </w:r>
      <w:r w:rsidR="0094539C">
        <w:t xml:space="preserve"> measurements with these new systems will help improve our understanding of mesopelagic ecolog</w:t>
      </w:r>
      <w:r w:rsidR="00593DFD">
        <w:t>y</w:t>
      </w:r>
      <w:r w:rsidR="0094539C">
        <w:t xml:space="preserve">. </w:t>
      </w:r>
    </w:p>
    <w:p w14:paraId="2B673607" w14:textId="552006F5" w:rsidR="0094539C" w:rsidRDefault="0094539C" w:rsidP="000D46B8">
      <w:pPr>
        <w:rPr>
          <w:lang w:eastAsia="nb-NO"/>
        </w:rPr>
      </w:pPr>
      <w:r>
        <w:rPr>
          <w:lang w:eastAsia="nb-NO"/>
        </w:rPr>
        <w:t>The model habitats derive</w:t>
      </w:r>
      <w:r w:rsidR="006C71D8">
        <w:rPr>
          <w:lang w:eastAsia="nb-NO"/>
        </w:rPr>
        <w:t>d</w:t>
      </w:r>
      <w:r>
        <w:rPr>
          <w:lang w:eastAsia="nb-NO"/>
        </w:rPr>
        <w:t xml:space="preserve"> in this report </w:t>
      </w:r>
      <w:r w:rsidR="006C71D8">
        <w:rPr>
          <w:lang w:eastAsia="nb-NO"/>
        </w:rPr>
        <w:t>are</w:t>
      </w:r>
      <w:r>
        <w:rPr>
          <w:lang w:eastAsia="nb-NO"/>
        </w:rPr>
        <w:t xml:space="preserve"> based on </w:t>
      </w:r>
      <w:r w:rsidR="00593DFD">
        <w:rPr>
          <w:lang w:eastAsia="nb-NO"/>
        </w:rPr>
        <w:t xml:space="preserve">clustering together </w:t>
      </w:r>
      <w:r>
        <w:rPr>
          <w:lang w:eastAsia="nb-NO"/>
        </w:rPr>
        <w:t xml:space="preserve">environmental properties </w:t>
      </w:r>
      <w:r w:rsidR="00593DFD">
        <w:rPr>
          <w:lang w:eastAsia="nb-NO"/>
        </w:rPr>
        <w:t>that are uniformly gr</w:t>
      </w:r>
      <w:r w:rsidR="00BE780C">
        <w:rPr>
          <w:lang w:eastAsia="nb-NO"/>
        </w:rPr>
        <w:t>i</w:t>
      </w:r>
      <w:r w:rsidR="00593DFD">
        <w:rPr>
          <w:lang w:eastAsia="nb-NO"/>
        </w:rPr>
        <w:t>d</w:t>
      </w:r>
      <w:r w:rsidR="00BE780C">
        <w:rPr>
          <w:lang w:eastAsia="nb-NO"/>
        </w:rPr>
        <w:t>d</w:t>
      </w:r>
      <w:r w:rsidR="00593DFD">
        <w:rPr>
          <w:lang w:eastAsia="nb-NO"/>
        </w:rPr>
        <w:t xml:space="preserve">ed (300 km by 300 km area) and averaged </w:t>
      </w:r>
      <w:r>
        <w:rPr>
          <w:lang w:eastAsia="nb-NO"/>
        </w:rPr>
        <w:t xml:space="preserve">over long </w:t>
      </w:r>
      <w:r w:rsidR="00593DFD">
        <w:rPr>
          <w:lang w:eastAsia="nb-NO"/>
        </w:rPr>
        <w:t>time-periods</w:t>
      </w:r>
      <w:r>
        <w:rPr>
          <w:lang w:eastAsia="nb-NO"/>
        </w:rPr>
        <w:t xml:space="preserve"> (10 years). This means that intra-cell </w:t>
      </w:r>
      <w:r w:rsidR="00D15F30">
        <w:rPr>
          <w:lang w:eastAsia="nb-NO"/>
        </w:rPr>
        <w:t xml:space="preserve">environmental </w:t>
      </w:r>
      <w:r>
        <w:rPr>
          <w:lang w:eastAsia="nb-NO"/>
        </w:rPr>
        <w:t xml:space="preserve">variability is not </w:t>
      </w:r>
      <w:r w:rsidR="00593DFD">
        <w:rPr>
          <w:lang w:eastAsia="nb-NO"/>
        </w:rPr>
        <w:t>considered</w:t>
      </w:r>
      <w:r w:rsidR="00BE780C">
        <w:rPr>
          <w:lang w:eastAsia="nb-NO"/>
        </w:rPr>
        <w:t xml:space="preserve"> to impact habitation</w:t>
      </w:r>
      <w:r>
        <w:rPr>
          <w:lang w:eastAsia="nb-NO"/>
        </w:rPr>
        <w:t xml:space="preserve"> in the </w:t>
      </w:r>
      <w:r w:rsidR="00593DFD">
        <w:rPr>
          <w:lang w:eastAsia="nb-NO"/>
        </w:rPr>
        <w:t>model</w:t>
      </w:r>
      <w:r>
        <w:rPr>
          <w:lang w:eastAsia="nb-NO"/>
        </w:rPr>
        <w:t xml:space="preserve">. </w:t>
      </w:r>
      <w:r w:rsidR="00D15F30">
        <w:rPr>
          <w:lang w:eastAsia="nb-NO"/>
        </w:rPr>
        <w:t xml:space="preserve">It is likely that </w:t>
      </w:r>
      <w:r w:rsidR="00593DFD">
        <w:rPr>
          <w:lang w:eastAsia="nb-NO"/>
        </w:rPr>
        <w:t xml:space="preserve">geographic </w:t>
      </w:r>
      <w:r w:rsidR="00D15F30">
        <w:rPr>
          <w:lang w:eastAsia="nb-NO"/>
        </w:rPr>
        <w:t xml:space="preserve">cells that are located within frontal zones experience larger </w:t>
      </w:r>
      <w:r w:rsidR="00593DFD">
        <w:rPr>
          <w:lang w:eastAsia="nb-NO"/>
        </w:rPr>
        <w:t xml:space="preserve">and more rapid </w:t>
      </w:r>
      <w:r w:rsidR="00D15F30">
        <w:rPr>
          <w:lang w:eastAsia="nb-NO"/>
        </w:rPr>
        <w:t xml:space="preserve">changes in temperature and production when </w:t>
      </w:r>
      <w:r w:rsidR="00D15F30">
        <w:rPr>
          <w:lang w:eastAsia="nb-NO"/>
        </w:rPr>
        <w:lastRenderedPageBreak/>
        <w:t>compared to cells outside these zones. DSLs have often been observed to increase in echo intensity at fronts</w:t>
      </w:r>
      <w:r w:rsidR="0053041C">
        <w:rPr>
          <w:lang w:eastAsia="nb-NO"/>
        </w:rPr>
        <w:t xml:space="preserve"> </w:t>
      </w:r>
      <w:r w:rsidR="0053041C">
        <w:rPr>
          <w:lang w:eastAsia="nb-NO"/>
        </w:rPr>
        <w:fldChar w:fldCharType="begin" w:fldLock="1"/>
      </w:r>
      <w:r w:rsidR="002D710F">
        <w:rPr>
          <w:lang w:eastAsia="nb-NO"/>
        </w:rPr>
        <w:instrText>ADDIN CSL_CITATION {"citationItems":[{"id":"ITEM-1","itemData":{"DOI":"10.1007/BF00233138","ISSN":"0722-4060","author":[{"dropping-particle":"","family":"Laubscher","given":"R.K.","non-dropping-particle":"","parse-names":false,"suffix":""},{"dropping-particle":"","family":"Perissinotto","given":"R.","non-dropping-particle":"","parse-names":false,"suffix":""},{"dropping-particle":"","family":"McQuaid","given":"C.D.","non-dropping-particle":"","parse-names":false,"suffix":""}],"container-title":"Polar Biology","id":"ITEM-1","issue":"7","issued":{"date-parts":[["1993","9"]]},"title":"Phytoplankton production and biomass at frontal zones in the Atlantic sector of the Southern Ocean","type":"article-journal","volume":"13"},"uris":["http://www.mendeley.com/documents/?uuid=1916028f-7ee5-45b9-b83b-f8aebf8f7458"]}],"mendeley":{"formattedCitation":"(Laubscher et al. 1993)","plainTextFormattedCitation":"(Laubscher et al. 1993)","previouslyFormattedCitation":"(Laubscher et al. 1993)"},"properties":{"noteIndex":0},"schema":"https://github.com/citation-style-language/schema/raw/master/csl-citation.json"}</w:instrText>
      </w:r>
      <w:r w:rsidR="0053041C">
        <w:rPr>
          <w:lang w:eastAsia="nb-NO"/>
        </w:rPr>
        <w:fldChar w:fldCharType="separate"/>
      </w:r>
      <w:r w:rsidR="002D710F" w:rsidRPr="002D710F">
        <w:rPr>
          <w:noProof/>
          <w:lang w:eastAsia="nb-NO"/>
        </w:rPr>
        <w:t>(Laubscher et al. 1993)</w:t>
      </w:r>
      <w:r w:rsidR="0053041C">
        <w:rPr>
          <w:lang w:eastAsia="nb-NO"/>
        </w:rPr>
        <w:fldChar w:fldCharType="end"/>
      </w:r>
      <w:r w:rsidR="00D15F30">
        <w:rPr>
          <w:lang w:eastAsia="nb-NO"/>
        </w:rPr>
        <w:t xml:space="preserve">. Therefore, to account for this dynamic variability, a dynamic partitioning is required that </w:t>
      </w:r>
      <w:r w:rsidR="0015058E">
        <w:rPr>
          <w:lang w:eastAsia="nb-NO"/>
        </w:rPr>
        <w:t>is based on</w:t>
      </w:r>
      <w:r w:rsidR="00D15F30">
        <w:rPr>
          <w:lang w:eastAsia="nb-NO"/>
        </w:rPr>
        <w:t xml:space="preserve"> relationships between DSLs and different water-masses/fronts. </w:t>
      </w:r>
      <w:r w:rsidR="0015058E">
        <w:rPr>
          <w:lang w:eastAsia="nb-NO"/>
        </w:rPr>
        <w:t>In such a partitioning</w:t>
      </w:r>
      <w:r w:rsidR="00D15F30">
        <w:rPr>
          <w:lang w:eastAsia="nb-NO"/>
        </w:rPr>
        <w:t xml:space="preserve">, model habitats </w:t>
      </w:r>
      <w:r w:rsidR="0015058E">
        <w:rPr>
          <w:lang w:eastAsia="nb-NO"/>
        </w:rPr>
        <w:t>would</w:t>
      </w:r>
      <w:r w:rsidR="00D15F30">
        <w:rPr>
          <w:lang w:eastAsia="nb-NO"/>
        </w:rPr>
        <w:t xml:space="preserve"> continuously shift in time and track distinct environments</w:t>
      </w:r>
      <w:r w:rsidR="00593DFD">
        <w:rPr>
          <w:lang w:eastAsia="nb-NO"/>
        </w:rPr>
        <w:t xml:space="preserve"> (and </w:t>
      </w:r>
      <w:r w:rsidR="0015058E">
        <w:rPr>
          <w:lang w:eastAsia="nb-NO"/>
        </w:rPr>
        <w:t>perhaps</w:t>
      </w:r>
      <w:r w:rsidR="00593DFD">
        <w:rPr>
          <w:lang w:eastAsia="nb-NO"/>
        </w:rPr>
        <w:t xml:space="preserve"> </w:t>
      </w:r>
      <w:r w:rsidR="00F44DCC">
        <w:rPr>
          <w:lang w:eastAsia="nb-NO"/>
        </w:rPr>
        <w:t>distinct fish populations)</w:t>
      </w:r>
      <w:r w:rsidR="00D15F30">
        <w:rPr>
          <w:lang w:eastAsia="nb-NO"/>
        </w:rPr>
        <w:t xml:space="preserve"> rather than be</w:t>
      </w:r>
      <w:r w:rsidR="006E2E6D">
        <w:rPr>
          <w:lang w:eastAsia="nb-NO"/>
        </w:rPr>
        <w:t>ing</w:t>
      </w:r>
      <w:r w:rsidR="00D15F30">
        <w:rPr>
          <w:lang w:eastAsia="nb-NO"/>
        </w:rPr>
        <w:t xml:space="preserve"> approximated by static position</w:t>
      </w:r>
      <w:r w:rsidR="006C71D8">
        <w:rPr>
          <w:lang w:eastAsia="nb-NO"/>
        </w:rPr>
        <w:t>s</w:t>
      </w:r>
      <w:r w:rsidR="00D15F30">
        <w:rPr>
          <w:lang w:eastAsia="nb-NO"/>
        </w:rPr>
        <w:t xml:space="preserve"> using long-term averages.</w:t>
      </w:r>
    </w:p>
    <w:p w14:paraId="692992B1" w14:textId="605EA36A" w:rsidR="00401952" w:rsidRDefault="00F44DCC" w:rsidP="000D46B8">
      <w:pPr>
        <w:rPr>
          <w:lang w:eastAsia="nb-NO"/>
        </w:rPr>
      </w:pPr>
      <w:r>
        <w:rPr>
          <w:lang w:eastAsia="nb-NO"/>
        </w:rPr>
        <w:t xml:space="preserve">Development of </w:t>
      </w:r>
      <w:r w:rsidR="00BE780C">
        <w:rPr>
          <w:lang w:eastAsia="nb-NO"/>
        </w:rPr>
        <w:t xml:space="preserve">habitat </w:t>
      </w:r>
      <w:r>
        <w:rPr>
          <w:lang w:eastAsia="nb-NO"/>
        </w:rPr>
        <w:t xml:space="preserve">models which </w:t>
      </w:r>
      <w:r w:rsidR="00BE780C">
        <w:rPr>
          <w:lang w:eastAsia="nb-NO"/>
        </w:rPr>
        <w:t>provide</w:t>
      </w:r>
      <w:r>
        <w:rPr>
          <w:lang w:eastAsia="nb-NO"/>
        </w:rPr>
        <w:t xml:space="preserve"> d</w:t>
      </w:r>
      <w:r w:rsidR="00D15F30">
        <w:rPr>
          <w:lang w:eastAsia="nb-NO"/>
        </w:rPr>
        <w:t>ynamic</w:t>
      </w:r>
      <w:r>
        <w:rPr>
          <w:lang w:eastAsia="nb-NO"/>
        </w:rPr>
        <w:t xml:space="preserve">, </w:t>
      </w:r>
      <w:r w:rsidR="00BE780C">
        <w:rPr>
          <w:lang w:eastAsia="nb-NO"/>
        </w:rPr>
        <w:t>rather than</w:t>
      </w:r>
      <w:r>
        <w:rPr>
          <w:lang w:eastAsia="nb-NO"/>
        </w:rPr>
        <w:t xml:space="preserve"> static,</w:t>
      </w:r>
      <w:r w:rsidR="00D15F30">
        <w:rPr>
          <w:lang w:eastAsia="nb-NO"/>
        </w:rPr>
        <w:t xml:space="preserve"> habitats </w:t>
      </w:r>
      <w:r w:rsidR="0015058E">
        <w:rPr>
          <w:lang w:eastAsia="nb-NO"/>
        </w:rPr>
        <w:t>based on improved</w:t>
      </w:r>
      <w:r w:rsidR="00D15F30">
        <w:rPr>
          <w:lang w:eastAsia="nb-NO"/>
        </w:rPr>
        <w:t xml:space="preserve"> relationship</w:t>
      </w:r>
      <w:r w:rsidR="006C71D8">
        <w:rPr>
          <w:lang w:eastAsia="nb-NO"/>
        </w:rPr>
        <w:t>s</w:t>
      </w:r>
      <w:r w:rsidR="00D15F30">
        <w:rPr>
          <w:lang w:eastAsia="nb-NO"/>
        </w:rPr>
        <w:t xml:space="preserve"> between environmental parameters and mesopelagic fish biomass</w:t>
      </w:r>
      <w:r>
        <w:rPr>
          <w:lang w:eastAsia="nb-NO"/>
        </w:rPr>
        <w:t>,</w:t>
      </w:r>
      <w:r w:rsidR="00D15F30">
        <w:rPr>
          <w:lang w:eastAsia="nb-NO"/>
        </w:rPr>
        <w:t xml:space="preserve"> will not only help us better understand </w:t>
      </w:r>
      <w:r>
        <w:rPr>
          <w:lang w:eastAsia="nb-NO"/>
        </w:rPr>
        <w:t>the</w:t>
      </w:r>
      <w:r w:rsidR="00D15F30">
        <w:rPr>
          <w:lang w:eastAsia="nb-NO"/>
        </w:rPr>
        <w:t xml:space="preserve"> role </w:t>
      </w:r>
      <w:r>
        <w:rPr>
          <w:lang w:eastAsia="nb-NO"/>
        </w:rPr>
        <w:t xml:space="preserve">of </w:t>
      </w:r>
      <w:r w:rsidR="00BE780C">
        <w:rPr>
          <w:lang w:eastAsia="nb-NO"/>
        </w:rPr>
        <w:t>mesopelagic</w:t>
      </w:r>
      <w:r>
        <w:rPr>
          <w:lang w:eastAsia="nb-NO"/>
        </w:rPr>
        <w:t xml:space="preserve"> fish in the</w:t>
      </w:r>
      <w:r w:rsidR="00D15F30">
        <w:rPr>
          <w:lang w:eastAsia="nb-NO"/>
        </w:rPr>
        <w:t xml:space="preserve"> biological</w:t>
      </w:r>
      <w:r>
        <w:rPr>
          <w:lang w:eastAsia="nb-NO"/>
        </w:rPr>
        <w:t xml:space="preserve"> carbon</w:t>
      </w:r>
      <w:r w:rsidR="00D15F30">
        <w:rPr>
          <w:lang w:eastAsia="nb-NO"/>
        </w:rPr>
        <w:t xml:space="preserve"> pump and in pelagic food-webs</w:t>
      </w:r>
      <w:r w:rsidR="0015058E">
        <w:rPr>
          <w:lang w:eastAsia="nb-NO"/>
        </w:rPr>
        <w:t>,</w:t>
      </w:r>
      <w:r w:rsidR="00D15F30">
        <w:rPr>
          <w:lang w:eastAsia="nb-NO"/>
        </w:rPr>
        <w:t xml:space="preserve"> but will also benefit </w:t>
      </w:r>
      <w:r>
        <w:rPr>
          <w:lang w:eastAsia="nb-NO"/>
        </w:rPr>
        <w:t>ecological</w:t>
      </w:r>
      <w:r w:rsidR="00D15F30">
        <w:rPr>
          <w:lang w:eastAsia="nb-NO"/>
        </w:rPr>
        <w:t xml:space="preserve"> </w:t>
      </w:r>
      <w:r w:rsidR="00525F62">
        <w:rPr>
          <w:lang w:eastAsia="nb-NO"/>
        </w:rPr>
        <w:t>modelling</w:t>
      </w:r>
      <w:r w:rsidR="002D710F">
        <w:rPr>
          <w:lang w:eastAsia="nb-NO"/>
        </w:rPr>
        <w:t xml:space="preserve"> </w:t>
      </w:r>
      <w:r w:rsidR="002D710F">
        <w:rPr>
          <w:lang w:eastAsia="nb-NO"/>
        </w:rPr>
        <w:fldChar w:fldCharType="begin" w:fldLock="1"/>
      </w:r>
      <w:r w:rsidR="002D710F">
        <w:rPr>
          <w:lang w:eastAsia="nb-NO"/>
        </w:rPr>
        <w:instrText>ADDIN CSL_CITATION {"citationItems":[{"id":"ITEM-1","itemData":{"author":[{"dropping-particle":"","family":"Constable","given":"A. J.","non-dropping-particle":"","parse-names":false,"suffix":""},{"dropping-particle":"","family":"Fulton","given":"E. A.","non-dropping-particle":"","parse-names":false,"suffix":""},{"dropping-particle":"","family":"Blanchard","given":"J. L.","non-dropping-particle":"","parse-names":false,"suffix":""},{"dropping-particle":"","family":"Calmettes","given":"B.","non-dropping-particle":"","parse-names":false,"suffix":""},{"dropping-particle":"","family":"Conchon","given":"A.","non-dropping-particle":"","parse-names":false,"suffix":""},{"dropping-particle":"","family":"Melbourne-Thomas, J. Trebilco","given":"R.","non-dropping-particle":"","parse-names":false,"suffix":""},{"dropping-particle":"","family":"Corney","given":"S.","non-dropping-particle":"","parse-names":false,"suffix":""}],"id":"ITEM-1","issued":{"date-parts":[["2017"]]},"number-of-pages":"30","title":"Documentation of the models, approaches for their standardization and protocols to be used for model inter-comparison in MESOPP. Report from the EU-H2020 MESOPP, MESOPP-17-0002 project","type":"report"},"uris":["http://www.mendeley.com/documents/?uuid=ac11a930-acbc-49e3-a5c2-a6c529cc1972"]}],"mendeley":{"formattedCitation":"(Constable et al. 2017)","plainTextFormattedCitation":"(Constable et al. 2017)","previouslyFormattedCitation":"(Constable et al. 2017)"},"properties":{"noteIndex":0},"schema":"https://github.com/citation-style-language/schema/raw/master/csl-citation.json"}</w:instrText>
      </w:r>
      <w:r w:rsidR="002D710F">
        <w:rPr>
          <w:lang w:eastAsia="nb-NO"/>
        </w:rPr>
        <w:fldChar w:fldCharType="separate"/>
      </w:r>
      <w:r w:rsidR="002D710F" w:rsidRPr="002D710F">
        <w:rPr>
          <w:noProof/>
          <w:lang w:eastAsia="nb-NO"/>
        </w:rPr>
        <w:t>(Constable et al. 2017)</w:t>
      </w:r>
      <w:r w:rsidR="002D710F">
        <w:rPr>
          <w:lang w:eastAsia="nb-NO"/>
        </w:rPr>
        <w:fldChar w:fldCharType="end"/>
      </w:r>
      <w:r>
        <w:rPr>
          <w:lang w:eastAsia="nb-NO"/>
        </w:rPr>
        <w:t xml:space="preserve">. For instance, </w:t>
      </w:r>
      <w:r w:rsidR="0015058E">
        <w:rPr>
          <w:lang w:eastAsia="nb-NO"/>
        </w:rPr>
        <w:t xml:space="preserve">development of </w:t>
      </w:r>
      <w:r>
        <w:rPr>
          <w:lang w:eastAsia="nb-NO"/>
        </w:rPr>
        <w:t xml:space="preserve">an ecosystem model </w:t>
      </w:r>
      <w:r w:rsidR="0015058E">
        <w:rPr>
          <w:lang w:eastAsia="nb-NO"/>
        </w:rPr>
        <w:t>with</w:t>
      </w:r>
      <w:r>
        <w:rPr>
          <w:lang w:eastAsia="nb-NO"/>
        </w:rPr>
        <w:t xml:space="preserve"> </w:t>
      </w:r>
      <w:r w:rsidR="00BE780C">
        <w:rPr>
          <w:lang w:eastAsia="nb-NO"/>
        </w:rPr>
        <w:t>integrate</w:t>
      </w:r>
      <w:r w:rsidR="0015058E">
        <w:rPr>
          <w:lang w:eastAsia="nb-NO"/>
        </w:rPr>
        <w:t>d</w:t>
      </w:r>
      <w:r>
        <w:rPr>
          <w:lang w:eastAsia="nb-NO"/>
        </w:rPr>
        <w:t xml:space="preserve"> dynamic partitioning</w:t>
      </w:r>
      <w:r w:rsidR="009825C8">
        <w:rPr>
          <w:lang w:eastAsia="nb-NO"/>
        </w:rPr>
        <w:t xml:space="preserve"> (rather than using static regions and depth ranges)</w:t>
      </w:r>
      <w:r w:rsidR="0015058E">
        <w:rPr>
          <w:lang w:eastAsia="nb-NO"/>
        </w:rPr>
        <w:t>,</w:t>
      </w:r>
      <w:r>
        <w:rPr>
          <w:lang w:eastAsia="nb-NO"/>
        </w:rPr>
        <w:t xml:space="preserve"> </w:t>
      </w:r>
      <w:r w:rsidR="0015058E">
        <w:rPr>
          <w:lang w:eastAsia="nb-NO"/>
        </w:rPr>
        <w:t xml:space="preserve">could </w:t>
      </w:r>
      <w:r>
        <w:rPr>
          <w:lang w:eastAsia="nb-NO"/>
        </w:rPr>
        <w:t xml:space="preserve">improve model performance </w:t>
      </w:r>
      <w:r w:rsidR="00AC4493">
        <w:rPr>
          <w:lang w:eastAsia="nb-NO"/>
        </w:rPr>
        <w:t>by lowering intra-partition variability</w:t>
      </w:r>
      <w:r w:rsidR="009825C8">
        <w:rPr>
          <w:lang w:eastAsia="nb-NO"/>
        </w:rPr>
        <w:t>;</w:t>
      </w:r>
      <w:r w:rsidR="00AC4493">
        <w:rPr>
          <w:lang w:eastAsia="nb-NO"/>
        </w:rPr>
        <w:t xml:space="preserve"> </w:t>
      </w:r>
      <w:r w:rsidR="009825C8">
        <w:rPr>
          <w:lang w:eastAsia="nb-NO"/>
        </w:rPr>
        <w:t>this, however, may be impractical, since it will likely require greatly increased</w:t>
      </w:r>
      <w:r>
        <w:rPr>
          <w:lang w:eastAsia="nb-NO"/>
        </w:rPr>
        <w:t xml:space="preserve"> processing </w:t>
      </w:r>
      <w:r w:rsidR="00487BC9">
        <w:rPr>
          <w:lang w:eastAsia="nb-NO"/>
        </w:rPr>
        <w:t>power (i.e. due to the model domain changing at each time step)</w:t>
      </w:r>
      <w:r>
        <w:rPr>
          <w:lang w:eastAsia="nb-NO"/>
        </w:rPr>
        <w:t>.</w:t>
      </w:r>
      <w:r w:rsidR="00D15F30">
        <w:rPr>
          <w:lang w:eastAsia="nb-NO"/>
        </w:rPr>
        <w:t xml:space="preserve"> </w:t>
      </w:r>
    </w:p>
    <w:p w14:paraId="0260E97E" w14:textId="77777777" w:rsidR="00401952" w:rsidRDefault="00401952" w:rsidP="000D46B8">
      <w:pPr>
        <w:rPr>
          <w:lang w:eastAsia="nb-NO"/>
        </w:rPr>
      </w:pPr>
    </w:p>
    <w:p w14:paraId="7EFAB85D" w14:textId="7E2CBB29" w:rsidR="00D7758E" w:rsidRDefault="006A5506" w:rsidP="00D7758E">
      <w:pPr>
        <w:pStyle w:val="Heading1"/>
        <w:rPr>
          <w:lang w:val="en-US"/>
        </w:rPr>
      </w:pPr>
      <w:bookmarkStart w:id="34" w:name="_Toc489026533"/>
      <w:bookmarkStart w:id="35" w:name="_Toc2505303"/>
      <w:r>
        <w:rPr>
          <w:lang w:val="en-US"/>
        </w:rPr>
        <w:t>References</w:t>
      </w:r>
      <w:bookmarkEnd w:id="34"/>
      <w:bookmarkEnd w:id="35"/>
    </w:p>
    <w:p w14:paraId="4211BE22" w14:textId="59142213" w:rsidR="002D710F" w:rsidRPr="002D710F" w:rsidRDefault="002D710F" w:rsidP="002D710F">
      <w:pPr>
        <w:widowControl w:val="0"/>
        <w:autoSpaceDE w:val="0"/>
        <w:autoSpaceDN w:val="0"/>
        <w:adjustRightInd w:val="0"/>
        <w:ind w:left="480" w:hanging="480"/>
        <w:rPr>
          <w:rFonts w:ascii="Calibri" w:hAnsi="Calibri" w:cs="Calibri"/>
          <w:noProof/>
        </w:rPr>
      </w:pPr>
      <w:r>
        <w:rPr>
          <w:lang w:val="en-US"/>
        </w:rPr>
        <w:fldChar w:fldCharType="begin" w:fldLock="1"/>
      </w:r>
      <w:r>
        <w:rPr>
          <w:lang w:val="en-US"/>
        </w:rPr>
        <w:instrText xml:space="preserve">ADDIN Mendeley Bibliography CSL_BIBLIOGRAPHY </w:instrText>
      </w:r>
      <w:r>
        <w:rPr>
          <w:lang w:val="en-US"/>
        </w:rPr>
        <w:fldChar w:fldCharType="separate"/>
      </w:r>
      <w:r w:rsidRPr="002D710F">
        <w:rPr>
          <w:rFonts w:ascii="Calibri" w:hAnsi="Calibri" w:cs="Calibri"/>
          <w:noProof/>
        </w:rPr>
        <w:t>Aksnes DL, Røstad A, Kaartvedt S, Martinez U, Duarte CM, Irigoien X (2017) Light penetration structures the deep acoustic scattering layers in the global ocean. Sci Adv 3:1–6</w:t>
      </w:r>
    </w:p>
    <w:p w14:paraId="3DB7E562"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Arrigo KR, Dijken G van, Pabi S (2008) Impact of a shrinking Arctic ice cover on marine primary production. Geophys Res Lett 35</w:t>
      </w:r>
    </w:p>
    <w:p w14:paraId="52E7C1EF"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Bianchi D, Galbraith ED, Carozza DA, Mislan KAS, Stock CA (2013) Intensification of open-ocean oxygen depletion by vertically migrating animals. Nat Geosci 6:545–548</w:t>
      </w:r>
    </w:p>
    <w:p w14:paraId="2007C5CB"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Boyce DG, Lewis MR, Worm B (2010) Global phytoplankton decline over the past century. Nature 466:591–596</w:t>
      </w:r>
    </w:p>
    <w:p w14:paraId="653BB9A9"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Boyce DG, Lewis MR, Worm B (2012) Integrating global chlorophyll data from 1890 to 2010. Limnol Oceanogr Methods 10:840–852</w:t>
      </w:r>
    </w:p>
    <w:p w14:paraId="3F4E7C16"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Boyd PW, Watson AJ, Law CS, Abraham ER, Trull T, Murdoch R, Bakker DC, Bowie  a R, Buesseler KO, Chang H, Charette M, Croot P, Downing K, Frew R, Gall M, Hadfield M, Hall J, Harvey M, Jameson G, LaRoche J, Liddicoat M, Ling R, Maldonado MT, McKay RM, Nodder S, Pickmere S, Pridmore R, Rintoul S, Safi K, Sutton P, Strzepek R, Tanneberger K, Turner S, Waite A, Zeldis J (2000) A mesoscale phytoplankton bloom in the polar Southern Ocean stimulated by iron fertilization. Nature 407:695–702</w:t>
      </w:r>
    </w:p>
    <w:p w14:paraId="40FB1CDA"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Carton JA, Chepurin GA, Chen L (2017) An updated reanalysis of ocean climate using the Simple Ocean Data Assimilation version 3 (SODA3). Manuscr Prep</w:t>
      </w:r>
    </w:p>
    <w:p w14:paraId="7C8EAE42"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Catul V, Gauns M, Karuppasamy PK (2011) A review on mesopelagic fishes belonging to family Myctophidae. Rev Fish Biol Fish 21:339–354</w:t>
      </w:r>
    </w:p>
    <w:p w14:paraId="08C01CBB"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 xml:space="preserve">Constable AJ, Fulton EA, Blanchard JL, Calmettes B, Conchon A, Melbourne-Thomas, J. Trebilco R, Corney S (2017) Documentation of the models, approaches for their standardization </w:t>
      </w:r>
      <w:r w:rsidRPr="002D710F">
        <w:rPr>
          <w:rFonts w:ascii="Calibri" w:hAnsi="Calibri" w:cs="Calibri"/>
          <w:noProof/>
        </w:rPr>
        <w:lastRenderedPageBreak/>
        <w:t>and protocols to be used for model inter-comparison in MESOPP. Report from the EU-H2020 MESOPP, MESOPP-17-0002 project.</w:t>
      </w:r>
    </w:p>
    <w:p w14:paraId="4D1AE40F"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Davison PC (2011) The Export of Carbon Mediated by Mesopelagic Fishes in the Northeast Pacific Ocean. University of California, San Diego</w:t>
      </w:r>
    </w:p>
    <w:p w14:paraId="1BAC0126"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Ducklow HW, Steinberg DK, Buesseler KO (2001) Upper ocean carbon export and the biological pump. Oceanography 14:50–58</w:t>
      </w:r>
    </w:p>
    <w:p w14:paraId="30B4BF49"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Fennell S, Rose G (2015) Oceanographic influences on Deep Scattering Layers across the North Atlantic. Deep Res Part I Oceanogr Res Pap 105:132–141</w:t>
      </w:r>
    </w:p>
    <w:p w14:paraId="211B1B01"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Field CB (1998) Primary Production of the Biosphere: Integrating Terrestrial and Oceanic Components. Science (80- ) 281:237–240</w:t>
      </w:r>
    </w:p>
    <w:p w14:paraId="27E7B3C8"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Giering SLC, Sanders R, Lampitt RS, Anderson TR, Tamburini C, Boutrif M, Zubkov M V., Marsay CM, Henson SA, Saw K, Cook K, Mayor DJ (2014) Reconciliation of the carbon budget in the ocean’s twilight zone. Nature 507:480–483</w:t>
      </w:r>
    </w:p>
    <w:p w14:paraId="7EE8BEE4"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Godø OR, Samuelsen A, Macaulay GJ, Patel R, Hjøllo SS, Horne J, Kaartvedt S, Johannessen JA (2012) Mesoscale eddies are oases for higher trophic marine life. PLoS One 7:e30161</w:t>
      </w:r>
    </w:p>
    <w:p w14:paraId="41F03CB8"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Hartigan JA, Wong MA (1979) A K-Means Clustering Algorithm. Appl Stat 28:100–108</w:t>
      </w:r>
    </w:p>
    <w:p w14:paraId="38563D7B"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Hays GC (2003) A review of the adaptive significance and ecosystem consequences of zooplankton diel vertical migrations. Hydrobiologia 503:163–170</w:t>
      </w:r>
    </w:p>
    <w:p w14:paraId="5F815AF8"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Hirche HJ (1996) Diapause in the marine copepod, Calanus finmarchicus - A review. Ophelia 44:129–143</w:t>
      </w:r>
    </w:p>
    <w:p w14:paraId="008BBA48"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Irigoien X, Klevjer TA, Røstad A, Martinez U, Boyra G, Acuña JL, Bode A, Echevarria F, Gonzalez-Gordillo JI, Hernandez-Leon S, Agusti S, Aksnes DL, Duarte CM, Kaartvedt S (2014) Large mesopelagic fishes biomass and trophic efficiency in the open ocean. Nat Commun 5:3271</w:t>
      </w:r>
    </w:p>
    <w:p w14:paraId="0B761C00"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John MA St., Borja A, Chust G, Heath M, Grigorov I, Mariani P, Martin AP, Santos RS (2016) A Dark Hole in Our Understanding of Marine Ecosystems and Their Services: Perspectives from the Mesopelagic Community. Front Mar Sci 3:1–6</w:t>
      </w:r>
    </w:p>
    <w:p w14:paraId="4D1CD62F"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Klevjer TA, Irigoien X, Røstad A, Fraile-Nuez E, Benítez-Barrios VM, Kaartvedt. S (2016) Large scale patterns in vertical distribution and behaviour of mesopelagic scattering layers. Sci Rep 6:19873</w:t>
      </w:r>
    </w:p>
    <w:p w14:paraId="6651B887"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Klevjer TA, Torres DJ, Kaartvedt S (2012) Distribution and diel vertical movements of mesopelagic scattering layers in the Red Sea. Mar Biol 159:1833–1841</w:t>
      </w:r>
    </w:p>
    <w:p w14:paraId="68210754"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Kloser RJ, Ryan TE, Keith G, Gershwin L (2016) Deep-scattering layer, gas-bladder density, and size estimates using a two-frequency acoustic and optical probe. ICES J Mar Sci J du Cons 73:2037–2048</w:t>
      </w:r>
    </w:p>
    <w:p w14:paraId="56231E1F"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Kloser RJ, Ryan TE, Young JW, Lewis ME (2009) Acoustic observations of micronekton fish on the scale of an ocean basin: potential and challenges. ICES J Mar Sci 66:998–1006</w:t>
      </w:r>
    </w:p>
    <w:p w14:paraId="1C4767BA"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 xml:space="preserve">Koubbi P, Moteki M, Duhamel G, Goarant A, Hulley PA, O’Driscoll R, Ishimaru T, Pruvost P, Tavernier E, Hosie G (2011) Ecoregionalization of myctophid fish in the Indian sector of </w:t>
      </w:r>
      <w:r w:rsidRPr="002D710F">
        <w:rPr>
          <w:rFonts w:ascii="Calibri" w:hAnsi="Calibri" w:cs="Calibri"/>
          <w:noProof/>
        </w:rPr>
        <w:lastRenderedPageBreak/>
        <w:t>the Southern Ocean: Results from generalized dissimilarity models. Deep Res Part II Top Stud Oceanogr 58:170–180</w:t>
      </w:r>
    </w:p>
    <w:p w14:paraId="7A630396"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Laubscher RK, Perissinotto R, McQuaid CD (1993) Phytoplankton production and biomass at frontal zones in the Atlantic sector of the Southern Ocean. Polar Biol 13</w:t>
      </w:r>
    </w:p>
    <w:p w14:paraId="438D9A76"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Longhurst AR (2007) Ecological Geography of the Sea, Second Edi. Academic Press, San Diego</w:t>
      </w:r>
    </w:p>
    <w:p w14:paraId="2A6B7C35"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Marouchos A, Sherlock M, Kloser R, Ryan T, Cordell J (2016) A profiling acoustic and optical system (pAOS) for pelagic studies; Prototype development and testing. In: OCEANS 2016 - Shanghai. IEEE, p 1–6</w:t>
      </w:r>
    </w:p>
    <w:p w14:paraId="7888C0D6"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Meyer B, Freier U, Grimm V, Groeneveld J, Hunt BPV, Kerwath S, King R, Klaas C, Pakhomov E, Meiners KM, Melbourne-Thomas J, Murphy EJ, Thorpe SE, Stammerjohn S, Wolf-Gladrow D, Auerswald L, Götz A, Halbach L, Jarman S, Kawaguchi S, Krumpen T, Nehrke G, Ricker R, Sumner M, Teschke M, Trebilco R, Yilmaz NI (2017) The winter pack-ice zone provides a sheltered but food-poor habitat for larval Antarctic krill. Nat Ecol Evol 1:1853–1861</w:t>
      </w:r>
    </w:p>
    <w:p w14:paraId="315ACBCD"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Nicol S (2006) Krill, Currents, and Sea Ice: Euphausia superba and Its Changing Environment. Bioscience 56:111</w:t>
      </w:r>
    </w:p>
    <w:p w14:paraId="03494D45"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Nicol S, Pauly T, Bindoff N, Wright S, Thiele D, Hosie GW, Strutton PG, Woehler E (2000) Ocean circulation off east Antarctica affects ecosystem structure and sea-ice extent. Nature 406:504–507</w:t>
      </w:r>
    </w:p>
    <w:p w14:paraId="2E2602B8"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Orsi AH, Whitworth T, Nowlin WD (1995) On the meridional extent and fronts of the Antarctic Circumpolar Current. Deep Res Part I 42:641–673</w:t>
      </w:r>
    </w:p>
    <w:p w14:paraId="03431E99"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Proud R, Cox MJ, Brierley AS (2017) Biogeography of the Global Ocean’s Mesopelagic Zone. Curr Biol 27:113–119</w:t>
      </w:r>
    </w:p>
    <w:p w14:paraId="40F97E37" w14:textId="6E764F64"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 xml:space="preserve">Proud R, Cox MJ, </w:t>
      </w:r>
      <w:r>
        <w:rPr>
          <w:rFonts w:ascii="Calibri" w:hAnsi="Calibri" w:cs="Calibri"/>
          <w:noProof/>
        </w:rPr>
        <w:t xml:space="preserve">Le </w:t>
      </w:r>
      <w:r w:rsidRPr="002D710F">
        <w:rPr>
          <w:rFonts w:ascii="Calibri" w:hAnsi="Calibri" w:cs="Calibri"/>
          <w:noProof/>
        </w:rPr>
        <w:t>Guen C, Brierley AS (2018) Fine-scale depth structure of pelagic communities throughout the global ocean based on acoustic sound scattering layers. Mar Ecol Prog Ser 598:35–48</w:t>
      </w:r>
    </w:p>
    <w:p w14:paraId="3E6BEB62"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Proud R, Handegard NO, Kloser RJ, Cox MJ, Brierley AS (2018) From siphonophores to deep scattering layers: uncertainty ranges for the estimation of global mesopelagic fish biomass. ICES J Mar Sci</w:t>
      </w:r>
    </w:p>
    <w:p w14:paraId="4D31F28E"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Proud R, Handegard NO, Lehodey P, Fulton EA, Pethybridge HR, Constable AJ, Kloser RJ (2018) Documentation of the definition of taxonomic/functional/energetic group in MESOPP models in relation to existing acoustic information. Report from the EU-H2020 MESOPP project, MESOPP-18-0001.</w:t>
      </w:r>
    </w:p>
    <w:p w14:paraId="10331744"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Saunders RA, Tarling GA (2018) Southern Ocean Mesopelagic Fish Comply with Bergmann’s Rule. Am Nat 191:343–351</w:t>
      </w:r>
    </w:p>
    <w:p w14:paraId="131051D7"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Stanton TK, Chu D, Jech MJ, Irish JD (2010) New broadband methods for resonance classification and high-resolution imagery of fish with swimbladders using a modified commercial broadband echosounder. ICES J Mar Sci 67:365–378</w:t>
      </w:r>
    </w:p>
    <w:p w14:paraId="7420592E"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White WB, Peterson RG (1996) An Antarctic circumpolar wave in surface pressure, wind, temperature and sea-ice extent. Nature 380:699–702</w:t>
      </w:r>
    </w:p>
    <w:p w14:paraId="180A1CC5" w14:textId="77777777" w:rsidR="002D710F" w:rsidRPr="002D710F" w:rsidRDefault="002D710F" w:rsidP="002D710F">
      <w:pPr>
        <w:widowControl w:val="0"/>
        <w:autoSpaceDE w:val="0"/>
        <w:autoSpaceDN w:val="0"/>
        <w:adjustRightInd w:val="0"/>
        <w:ind w:left="480" w:hanging="480"/>
        <w:rPr>
          <w:rFonts w:ascii="Calibri" w:hAnsi="Calibri" w:cs="Calibri"/>
          <w:noProof/>
        </w:rPr>
      </w:pPr>
      <w:r w:rsidRPr="002D710F">
        <w:rPr>
          <w:rFonts w:ascii="Calibri" w:hAnsi="Calibri" w:cs="Calibri"/>
          <w:noProof/>
        </w:rPr>
        <w:t xml:space="preserve">Zebiak SE, Cane MA (1987) A Model El Nino–Southern Oscillation. Mon Weather Rev </w:t>
      </w:r>
      <w:r w:rsidRPr="002D710F">
        <w:rPr>
          <w:rFonts w:ascii="Calibri" w:hAnsi="Calibri" w:cs="Calibri"/>
          <w:noProof/>
        </w:rPr>
        <w:lastRenderedPageBreak/>
        <w:t>115:2262–2278</w:t>
      </w:r>
    </w:p>
    <w:p w14:paraId="15150B7C" w14:textId="793A9FDF" w:rsidR="00D7758E" w:rsidRPr="00D7758E" w:rsidRDefault="002D710F" w:rsidP="00D7758E">
      <w:pPr>
        <w:rPr>
          <w:lang w:val="en-US"/>
        </w:rPr>
      </w:pPr>
      <w:r>
        <w:rPr>
          <w:lang w:val="en-US"/>
        </w:rPr>
        <w:fldChar w:fldCharType="end"/>
      </w:r>
    </w:p>
    <w:p w14:paraId="3CD2B2B7" w14:textId="0F28062A" w:rsidR="00AB526D" w:rsidRPr="00AB526D" w:rsidRDefault="006A5506" w:rsidP="00AB526D">
      <w:pPr>
        <w:pStyle w:val="Heading1"/>
      </w:pPr>
      <w:bookmarkStart w:id="36" w:name="_Toc489026534"/>
      <w:bookmarkStart w:id="37" w:name="_Toc2505304"/>
      <w:r>
        <w:t xml:space="preserve">Appendix </w:t>
      </w:r>
      <w:r w:rsidR="006151C4">
        <w:t>A</w:t>
      </w:r>
      <w:bookmarkEnd w:id="36"/>
      <w:bookmarkEnd w:id="37"/>
    </w:p>
    <w:p w14:paraId="0379DEAC" w14:textId="3F0A8E05" w:rsidR="00AB526D" w:rsidRDefault="008F175D" w:rsidP="00AB526D">
      <w:pPr>
        <w:pStyle w:val="Heading2"/>
      </w:pPr>
      <w:bookmarkStart w:id="38" w:name="_Toc2505305"/>
      <w:r>
        <w:t>Southern Ocean mesopelagic fish habitat models</w:t>
      </w:r>
      <w:bookmarkEnd w:id="38"/>
    </w:p>
    <w:p w14:paraId="5929A963" w14:textId="3A31FB96" w:rsidR="006151C4" w:rsidRPr="006151C4" w:rsidRDefault="008F175D" w:rsidP="006151C4">
      <w:r>
        <w:t>Southern Ocean mesopelagic habitat models not shown in main report are given here, from a model with seven mesopelagic fish biomass classes (Figure A1) to a model with fifteen classes (Figure A4).</w:t>
      </w:r>
    </w:p>
    <w:p w14:paraId="792EE397" w14:textId="2758A323" w:rsidR="006151C4" w:rsidRDefault="00BC5510" w:rsidP="00EE561D">
      <w:pPr>
        <w:pStyle w:val="FirstParagraph"/>
        <w:jc w:val="both"/>
      </w:pPr>
      <w:r>
        <w:rPr>
          <w:noProof/>
        </w:rPr>
        <w:drawing>
          <wp:inline distT="0" distB="0" distL="0" distR="0" wp14:anchorId="4036E68A" wp14:editId="09E14948">
            <wp:extent cx="5737860" cy="47777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7">
                      <a:extLst>
                        <a:ext uri="{28A0092B-C50C-407E-A947-70E740481C1C}">
                          <a14:useLocalDpi xmlns:a14="http://schemas.microsoft.com/office/drawing/2010/main" val="0"/>
                        </a:ext>
                      </a:extLst>
                    </a:blip>
                    <a:srcRect t="11023" b="5711"/>
                    <a:stretch/>
                  </pic:blipFill>
                  <pic:spPr bwMode="auto">
                    <a:xfrm>
                      <a:off x="0" y="0"/>
                      <a:ext cx="5737860" cy="4777740"/>
                    </a:xfrm>
                    <a:prstGeom prst="rect">
                      <a:avLst/>
                    </a:prstGeom>
                    <a:noFill/>
                    <a:ln>
                      <a:noFill/>
                    </a:ln>
                    <a:extLst>
                      <a:ext uri="{53640926-AAD7-44D8-BBD7-CCE9431645EC}">
                        <a14:shadowObscured xmlns:a14="http://schemas.microsoft.com/office/drawing/2010/main"/>
                      </a:ext>
                    </a:extLst>
                  </pic:spPr>
                </pic:pic>
              </a:graphicData>
            </a:graphic>
          </wp:inline>
        </w:drawing>
      </w:r>
    </w:p>
    <w:p w14:paraId="16DE0913" w14:textId="3C172587" w:rsidR="006151C4" w:rsidRDefault="006151C4" w:rsidP="006151C4">
      <w:pPr>
        <w:pStyle w:val="Caption2"/>
      </w:pPr>
      <w:bookmarkStart w:id="39" w:name="_Toc2505312"/>
      <w:r>
        <w:t xml:space="preserve">Figure </w:t>
      </w:r>
      <w:r w:rsidR="008F175D">
        <w:t>A1</w:t>
      </w:r>
      <w:r>
        <w:t xml:space="preserve"> Seven-class Southern Ocean mesopelagic</w:t>
      </w:r>
      <w:r w:rsidR="00004F84">
        <w:t xml:space="preserve"> fish</w:t>
      </w:r>
      <w:r>
        <w:t xml:space="preserve"> habitat model. MPAs indicated by magenta line. Minimum sea-ice extent shown by light-blue shading and maximum sea-ice extent indicated by white line.</w:t>
      </w:r>
      <w:bookmarkEnd w:id="39"/>
    </w:p>
    <w:p w14:paraId="19D7D91C" w14:textId="4A21CC31" w:rsidR="006151C4" w:rsidRDefault="00BC5510" w:rsidP="00EE561D">
      <w:pPr>
        <w:pStyle w:val="FirstParagraph"/>
        <w:jc w:val="both"/>
      </w:pPr>
      <w:r>
        <w:rPr>
          <w:noProof/>
        </w:rPr>
        <w:lastRenderedPageBreak/>
        <w:drawing>
          <wp:inline distT="0" distB="0" distL="0" distR="0" wp14:anchorId="3992D44F" wp14:editId="52BB5462">
            <wp:extent cx="5737860" cy="47853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8">
                      <a:extLst>
                        <a:ext uri="{28A0092B-C50C-407E-A947-70E740481C1C}">
                          <a14:useLocalDpi xmlns:a14="http://schemas.microsoft.com/office/drawing/2010/main" val="0"/>
                        </a:ext>
                      </a:extLst>
                    </a:blip>
                    <a:srcRect t="10890" b="5711"/>
                    <a:stretch/>
                  </pic:blipFill>
                  <pic:spPr bwMode="auto">
                    <a:xfrm>
                      <a:off x="0" y="0"/>
                      <a:ext cx="5737860" cy="4785360"/>
                    </a:xfrm>
                    <a:prstGeom prst="rect">
                      <a:avLst/>
                    </a:prstGeom>
                    <a:noFill/>
                    <a:ln>
                      <a:noFill/>
                    </a:ln>
                    <a:extLst>
                      <a:ext uri="{53640926-AAD7-44D8-BBD7-CCE9431645EC}">
                        <a14:shadowObscured xmlns:a14="http://schemas.microsoft.com/office/drawing/2010/main"/>
                      </a:ext>
                    </a:extLst>
                  </pic:spPr>
                </pic:pic>
              </a:graphicData>
            </a:graphic>
          </wp:inline>
        </w:drawing>
      </w:r>
    </w:p>
    <w:p w14:paraId="08B0C73D" w14:textId="60BC9DA8" w:rsidR="006151C4" w:rsidRDefault="006151C4" w:rsidP="006151C4">
      <w:pPr>
        <w:pStyle w:val="Caption2"/>
      </w:pPr>
      <w:bookmarkStart w:id="40" w:name="_Toc2505313"/>
      <w:r>
        <w:t xml:space="preserve">Figure </w:t>
      </w:r>
      <w:r w:rsidR="008F175D">
        <w:t>A2</w:t>
      </w:r>
      <w:r>
        <w:t xml:space="preserve"> </w:t>
      </w:r>
      <w:r w:rsidR="008F175D">
        <w:t>Eleven</w:t>
      </w:r>
      <w:r>
        <w:t>-class Southern Ocean mesopelagic</w:t>
      </w:r>
      <w:r w:rsidR="00004F84">
        <w:t xml:space="preserve"> fish</w:t>
      </w:r>
      <w:r>
        <w:t xml:space="preserve"> habitat model. MPAs indicated by magenta line. Minimum sea-ice extent shown by light-blue shading and maximum sea-ice extent indicated by white line.</w:t>
      </w:r>
      <w:bookmarkEnd w:id="40"/>
    </w:p>
    <w:p w14:paraId="190C67DF" w14:textId="57616521" w:rsidR="008F175D" w:rsidRDefault="00BC5510" w:rsidP="00EE561D">
      <w:pPr>
        <w:pStyle w:val="FirstParagraph"/>
        <w:jc w:val="both"/>
      </w:pPr>
      <w:r>
        <w:rPr>
          <w:noProof/>
        </w:rPr>
        <w:lastRenderedPageBreak/>
        <w:drawing>
          <wp:inline distT="0" distB="0" distL="0" distR="0" wp14:anchorId="39E29E5F" wp14:editId="29B4E999">
            <wp:extent cx="5737860" cy="4762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9">
                      <a:extLst>
                        <a:ext uri="{28A0092B-C50C-407E-A947-70E740481C1C}">
                          <a14:useLocalDpi xmlns:a14="http://schemas.microsoft.com/office/drawing/2010/main" val="0"/>
                        </a:ext>
                      </a:extLst>
                    </a:blip>
                    <a:srcRect t="11023" b="5976"/>
                    <a:stretch/>
                  </pic:blipFill>
                  <pic:spPr bwMode="auto">
                    <a:xfrm>
                      <a:off x="0" y="0"/>
                      <a:ext cx="5737860" cy="4762500"/>
                    </a:xfrm>
                    <a:prstGeom prst="rect">
                      <a:avLst/>
                    </a:prstGeom>
                    <a:noFill/>
                    <a:ln>
                      <a:noFill/>
                    </a:ln>
                    <a:extLst>
                      <a:ext uri="{53640926-AAD7-44D8-BBD7-CCE9431645EC}">
                        <a14:shadowObscured xmlns:a14="http://schemas.microsoft.com/office/drawing/2010/main"/>
                      </a:ext>
                    </a:extLst>
                  </pic:spPr>
                </pic:pic>
              </a:graphicData>
            </a:graphic>
          </wp:inline>
        </w:drawing>
      </w:r>
    </w:p>
    <w:p w14:paraId="0BF99541" w14:textId="13C23ED6" w:rsidR="008F175D" w:rsidRDefault="008F175D" w:rsidP="008F175D">
      <w:pPr>
        <w:pStyle w:val="Caption2"/>
      </w:pPr>
      <w:bookmarkStart w:id="41" w:name="_Toc2505314"/>
      <w:r>
        <w:t>Figure A3 Thirteen-class Southern Ocean mesopelagic</w:t>
      </w:r>
      <w:r w:rsidR="00004F84">
        <w:t xml:space="preserve"> fish</w:t>
      </w:r>
      <w:r>
        <w:t xml:space="preserve"> habitat model. MPAs indicated by magenta line. Minimum sea-ice extent shown by light-blue shading and maximum sea-ice extent indicated by white line.</w:t>
      </w:r>
      <w:bookmarkEnd w:id="41"/>
    </w:p>
    <w:p w14:paraId="729369EB" w14:textId="45A59887" w:rsidR="00AB526D" w:rsidRDefault="00BC5510" w:rsidP="00EE561D">
      <w:pPr>
        <w:pStyle w:val="FirstParagraph"/>
        <w:jc w:val="both"/>
      </w:pPr>
      <w:r>
        <w:rPr>
          <w:noProof/>
        </w:rPr>
        <w:lastRenderedPageBreak/>
        <w:drawing>
          <wp:inline distT="0" distB="0" distL="0" distR="0" wp14:anchorId="2067FF2E" wp14:editId="040AEAA8">
            <wp:extent cx="5737860" cy="48158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0">
                      <a:extLst>
                        <a:ext uri="{28A0092B-C50C-407E-A947-70E740481C1C}">
                          <a14:useLocalDpi xmlns:a14="http://schemas.microsoft.com/office/drawing/2010/main" val="0"/>
                        </a:ext>
                      </a:extLst>
                    </a:blip>
                    <a:srcRect t="10625" b="5445"/>
                    <a:stretch/>
                  </pic:blipFill>
                  <pic:spPr bwMode="auto">
                    <a:xfrm>
                      <a:off x="0" y="0"/>
                      <a:ext cx="5737860" cy="4815840"/>
                    </a:xfrm>
                    <a:prstGeom prst="rect">
                      <a:avLst/>
                    </a:prstGeom>
                    <a:noFill/>
                    <a:ln>
                      <a:noFill/>
                    </a:ln>
                    <a:extLst>
                      <a:ext uri="{53640926-AAD7-44D8-BBD7-CCE9431645EC}">
                        <a14:shadowObscured xmlns:a14="http://schemas.microsoft.com/office/drawing/2010/main"/>
                      </a:ext>
                    </a:extLst>
                  </pic:spPr>
                </pic:pic>
              </a:graphicData>
            </a:graphic>
          </wp:inline>
        </w:drawing>
      </w:r>
    </w:p>
    <w:p w14:paraId="49B2968B" w14:textId="73B7E62C" w:rsidR="008F175D" w:rsidRDefault="008F175D" w:rsidP="008F175D">
      <w:pPr>
        <w:pStyle w:val="Caption2"/>
      </w:pPr>
      <w:bookmarkStart w:id="42" w:name="_Toc2505315"/>
      <w:r>
        <w:t>Figure A4 Fifteen-class Southern Ocean mesopelagic</w:t>
      </w:r>
      <w:r w:rsidR="00004F84">
        <w:t xml:space="preserve"> fish</w:t>
      </w:r>
      <w:r>
        <w:t xml:space="preserve"> habitat model. MPAs indicated by magenta line. Minimum sea-ice extent shown by light-blue shading and maximum sea-ice extent indicated by white line.</w:t>
      </w:r>
      <w:bookmarkEnd w:id="42"/>
    </w:p>
    <w:p w14:paraId="065017ED" w14:textId="77777777" w:rsidR="008F175D" w:rsidRPr="008F175D" w:rsidRDefault="008F175D" w:rsidP="008F175D">
      <w:pPr>
        <w:pStyle w:val="BodyText"/>
        <w:rPr>
          <w:lang w:val="en-US" w:eastAsia="en-US"/>
        </w:rPr>
      </w:pPr>
    </w:p>
    <w:sectPr w:rsidR="008F175D" w:rsidRPr="008F175D" w:rsidSect="00922A31">
      <w:footerReference w:type="default" r:id="rId31"/>
      <w:pgSz w:w="11909" w:h="16834" w:code="9"/>
      <w:pgMar w:top="1418" w:right="1418" w:bottom="1588" w:left="1446" w:header="283" w:footer="556" w:gutter="0"/>
      <w:pgNumType w:start="6"/>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16302E" w14:textId="77777777" w:rsidR="007C29A3" w:rsidRDefault="007C29A3" w:rsidP="00177966">
      <w:r>
        <w:separator/>
      </w:r>
    </w:p>
  </w:endnote>
  <w:endnote w:type="continuationSeparator" w:id="0">
    <w:p w14:paraId="63E7CE32" w14:textId="77777777" w:rsidR="007C29A3" w:rsidRDefault="007C29A3" w:rsidP="00177966">
      <w:r>
        <w:continuationSeparator/>
      </w:r>
    </w:p>
  </w:endnote>
  <w:endnote w:type="continuationNotice" w:id="1">
    <w:p w14:paraId="3ED9740B" w14:textId="77777777" w:rsidR="007C29A3" w:rsidRDefault="007C29A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imes">
    <w:panose1 w:val="02020603050405020304"/>
    <w:charset w:val="00"/>
    <w:family w:val="auto"/>
    <w:pitch w:val="variable"/>
    <w:sig w:usb0="00000003" w:usb1="00000000" w:usb2="00000000" w:usb3="00000000" w:csb0="00000007"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mfortaa">
    <w:altName w:val="Calibri"/>
    <w:charset w:val="00"/>
    <w:family w:val="swiss"/>
    <w:pitch w:val="variable"/>
    <w:sig w:usb0="A00000A7" w:usb1="5000007B" w:usb2="00000000" w:usb3="00000000" w:csb0="0000019F" w:csb1="00000000"/>
  </w:font>
  <w:font w:name="+mn-ea">
    <w:panose1 w:val="00000000000000000000"/>
    <w:charset w:val="00"/>
    <w:family w:val="roman"/>
    <w:notTrueType/>
    <w:pitch w:val="default"/>
  </w:font>
  <w:font w:name="+mn-cs">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E23226" w14:textId="70D975D6" w:rsidR="00B6187D" w:rsidRPr="009E00C0" w:rsidRDefault="00B6187D" w:rsidP="00177966">
    <w:pPr>
      <w:rPr>
        <w:sz w:val="18"/>
        <w:szCs w:val="18"/>
      </w:rPr>
    </w:pPr>
    <w:r>
      <w:rPr>
        <w:noProof/>
        <w:sz w:val="18"/>
        <w:szCs w:val="18"/>
        <w:lang w:val="en-AU" w:eastAsia="en-AU"/>
      </w:rPr>
      <mc:AlternateContent>
        <mc:Choice Requires="wps">
          <w:drawing>
            <wp:anchor distT="0" distB="0" distL="114300" distR="114300" simplePos="0" relativeHeight="251656192" behindDoc="0" locked="0" layoutInCell="1" allowOverlap="1" wp14:anchorId="56AE7AFE" wp14:editId="15AE2859">
              <wp:simplePos x="0" y="0"/>
              <wp:positionH relativeFrom="column">
                <wp:posOffset>-675640</wp:posOffset>
              </wp:positionH>
              <wp:positionV relativeFrom="paragraph">
                <wp:posOffset>-562610</wp:posOffset>
              </wp:positionV>
              <wp:extent cx="307340" cy="914400"/>
              <wp:effectExtent l="0" t="0" r="0" b="0"/>
              <wp:wrapNone/>
              <wp:docPr id="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340" cy="91440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668BDE88" w14:textId="77777777" w:rsidR="00B6187D" w:rsidRPr="008037ED" w:rsidRDefault="00B6187D" w:rsidP="00B6005A">
                          <w:r>
                            <w:t>FORM-NT-GB-10-1</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6AE7AFE" id="_x0000_t202" coordsize="21600,21600" o:spt="202" path="m,l,21600r21600,l21600,xe">
              <v:stroke joinstyle="miter"/>
              <v:path gradientshapeok="t" o:connecttype="rect"/>
            </v:shapetype>
            <v:shape id="Text Box 1" o:spid="_x0000_s1026" type="#_x0000_t202" style="position:absolute;left:0;text-align:left;margin-left:-53.2pt;margin-top:-44.3pt;width:24.2pt;height:1in;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" stroked="f">
              <v:textbox style="layout-flow:vertical;mso-layout-flow-alt:bottom-to-top">
                <w:txbxContent>
                  <w:p w14:paraId="668BDE88" w14:textId="77777777" w:rsidR="00B6187D" w:rsidRPr="008037ED" w:rsidRDefault="00B6187D" w:rsidP="00B6005A">
                    <w:r>
                      <w:t>FORM-NT-GB-10-1</w:t>
                    </w:r>
                  </w:p>
                </w:txbxContent>
              </v:textbox>
            </v:shape>
          </w:pict>
        </mc:Fallback>
      </mc:AlternateContent>
    </w:r>
    <w:r w:rsidRPr="007C31F0">
      <w:rPr>
        <w:rFonts w:ascii="Calibri" w:hAnsi="Calibri"/>
        <w:lang w:val="en-US"/>
      </w:rPr>
      <w:t xml:space="preserve"> </w:t>
    </w:r>
    <w:hyperlink r:id="rId1" w:history="1">
      <w:r w:rsidRPr="00955380">
        <w:rPr>
          <w:rStyle w:val="Hyperlink"/>
          <w:rFonts w:ascii="Comfortaa" w:eastAsia="+mn-ea" w:hAnsi="Comfortaa" w:cs="+mn-cs"/>
          <w:kern w:val="24"/>
          <w:szCs w:val="20"/>
          <w:lang w:val="es-ES"/>
        </w:rPr>
        <w:t>www.mesopp.eu</w:t>
      </w:r>
    </w:hyperlink>
    <w:r w:rsidRPr="007C31F0">
      <w:rPr>
        <w:rFonts w:ascii="Calibri" w:hAnsi="Calibri"/>
        <w:lang w:val="en-US"/>
      </w:rPr>
      <w:t xml:space="preserve"> </w:t>
    </w:r>
    <w:r w:rsidRPr="007C31F0">
      <w:rPr>
        <w:rFonts w:ascii="Calibri" w:hAnsi="Calibri"/>
        <w:lang w:val="en-US"/>
      </w:rPr>
      <w:tab/>
    </w:r>
    <w:r>
      <w:rPr>
        <w:rFonts w:ascii="Calibri" w:hAnsi="Calibri"/>
        <w:lang w:val="en-US"/>
      </w:rPr>
      <w:tab/>
    </w:r>
    <w:r>
      <w:rPr>
        <w:rFonts w:ascii="Calibri" w:hAnsi="Calibri"/>
        <w:lang w:val="en-US"/>
      </w:rPr>
      <w:tab/>
    </w:r>
    <w:r w:rsidRPr="007C31F0">
      <w:rPr>
        <w:rFonts w:ascii="Calibri" w:hAnsi="Calibri"/>
        <w:lang w:val="en-US"/>
      </w:rPr>
      <w:t>Copyright © MESOPP Project Consortium</w:t>
    </w:r>
    <w:r w:rsidRPr="009E00C0">
      <w:rPr>
        <w:sz w:val="18"/>
        <w:szCs w:val="18"/>
      </w:rPr>
      <w:t xml:space="preserve"> </w:t>
    </w:r>
    <w:r w:rsidRPr="009E00C0">
      <w:rPr>
        <w:sz w:val="18"/>
        <w:szCs w:val="18"/>
      </w:rPr>
      <w:tab/>
    </w:r>
    <w:r>
      <w:rPr>
        <w:sz w:val="18"/>
        <w:szCs w:val="18"/>
      </w:rPr>
      <w:tab/>
      <w:t>i.</w:t>
    </w:r>
    <w:r w:rsidRPr="00594FFC">
      <w:rPr>
        <w:rStyle w:val="PageNumber"/>
      </w:rPr>
      <w:fldChar w:fldCharType="begin"/>
    </w:r>
    <w:r w:rsidRPr="00594FFC">
      <w:rPr>
        <w:rStyle w:val="PageNumber"/>
      </w:rPr>
      <w:instrText xml:space="preserve"> PAGE </w:instrText>
    </w:r>
    <w:r w:rsidRPr="00594FFC">
      <w:rPr>
        <w:rStyle w:val="PageNumber"/>
      </w:rPr>
      <w:fldChar w:fldCharType="separate"/>
    </w:r>
    <w:r>
      <w:rPr>
        <w:rStyle w:val="PageNumber"/>
        <w:noProof/>
      </w:rPr>
      <w:t>4</w:t>
    </w:r>
    <w:r w:rsidRPr="00594FFC">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E1A39A" w14:textId="77777777" w:rsidR="00B6187D" w:rsidRDefault="00B6187D" w:rsidP="00177966">
    <w:pPr>
      <w:pStyle w:val="Footer"/>
    </w:pPr>
    <w:r w:rsidRPr="008A5B36">
      <w:t>Horizon 2020. Grant agreement No 692173</w:t>
    </w:r>
  </w:p>
  <w:p w14:paraId="2C4E20D1" w14:textId="77777777" w:rsidR="00B6187D" w:rsidRDefault="007C29A3" w:rsidP="00177966">
    <w:pPr>
      <w:pStyle w:val="Footer"/>
    </w:pPr>
    <w:sdt>
      <w:sdtPr>
        <w:alias w:val="Nomenclature"/>
        <w:tag w:val="Nomenclature"/>
        <w:id w:val="1114720990"/>
        <w:dataBinding w:prefixMappings="xmlns:ns0='http://schemas.microsoft.com/office/2006/metadata/properties' xmlns:ns1='http://www.w3.org/2001/XMLSchema-instance' xmlns:ns2='http://schemas.microsoft.com/office/infopath/2007/PartnerControls' xmlns:ns3='http://schemas.microsoft.com/sharepoint/v3' xmlns:ns4='24584a92-cfe5-42c0-880b-1dbd08f20e00' xmlns:ns5='http://schemas.microsoft.com/sharepoint/v3/fields' " w:xpath="/ns0:properties[1]/documentManagement[1]/ns4:Nomenclature[1]" w:storeItemID="{266CB10C-B786-4360-BB67-6A5086C74641}"/>
        <w:text/>
      </w:sdtPr>
      <w:sdtEndPr/>
      <w:sdtContent>
        <w:r w:rsidR="00B6187D">
          <w:t>Public</w:t>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D80A5A" w14:textId="40CB1E1B" w:rsidR="00922A31" w:rsidRPr="009E00C0" w:rsidRDefault="00922A31" w:rsidP="00177966">
    <w:pPr>
      <w:rPr>
        <w:sz w:val="18"/>
        <w:szCs w:val="18"/>
      </w:rPr>
    </w:pPr>
    <w:r>
      <w:rPr>
        <w:noProof/>
        <w:sz w:val="18"/>
        <w:szCs w:val="18"/>
        <w:lang w:val="en-AU" w:eastAsia="en-AU"/>
      </w:rPr>
      <mc:AlternateContent>
        <mc:Choice Requires="wps">
          <w:drawing>
            <wp:anchor distT="0" distB="0" distL="114300" distR="114300" simplePos="0" relativeHeight="251662336" behindDoc="0" locked="0" layoutInCell="1" allowOverlap="1" wp14:anchorId="0011ED86" wp14:editId="4AD1E474">
              <wp:simplePos x="0" y="0"/>
              <wp:positionH relativeFrom="column">
                <wp:posOffset>-675640</wp:posOffset>
              </wp:positionH>
              <wp:positionV relativeFrom="paragraph">
                <wp:posOffset>-562610</wp:posOffset>
              </wp:positionV>
              <wp:extent cx="307340" cy="91440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340" cy="91440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153FC0E7" w14:textId="77777777" w:rsidR="00922A31" w:rsidRPr="008037ED" w:rsidRDefault="00922A31" w:rsidP="00B6005A">
                          <w:r>
                            <w:t>FORM-NT-GB-10-1</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011ED86" id="_x0000_t202" coordsize="21600,21600" o:spt="202" path="m,l,21600r21600,l21600,xe">
              <v:stroke joinstyle="miter"/>
              <v:path gradientshapeok="t" o:connecttype="rect"/>
            </v:shapetype>
            <v:shape id="_x0000_s1027" type="#_x0000_t202" style="position:absolute;left:0;text-align:left;margin-left:-53.2pt;margin-top:-44.3pt;width:24.2pt;height:1in;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" stroked="f">
              <v:textbox style="layout-flow:vertical;mso-layout-flow-alt:bottom-to-top">
                <w:txbxContent>
                  <w:p w14:paraId="153FC0E7" w14:textId="77777777" w:rsidR="00922A31" w:rsidRPr="008037ED" w:rsidRDefault="00922A31" w:rsidP="00B6005A">
                    <w:r>
                      <w:t>FORM-NT-GB-10-1</w:t>
                    </w:r>
                  </w:p>
                </w:txbxContent>
              </v:textbox>
            </v:shape>
          </w:pict>
        </mc:Fallback>
      </mc:AlternateContent>
    </w:r>
    <w:r w:rsidRPr="007C31F0">
      <w:rPr>
        <w:rFonts w:ascii="Calibri" w:hAnsi="Calibri"/>
        <w:lang w:val="en-US"/>
      </w:rPr>
      <w:t xml:space="preserve"> </w:t>
    </w:r>
    <w:hyperlink r:id="rId1" w:history="1">
      <w:r w:rsidRPr="00955380">
        <w:rPr>
          <w:rStyle w:val="Hyperlink"/>
          <w:rFonts w:ascii="Comfortaa" w:eastAsia="+mn-ea" w:hAnsi="Comfortaa" w:cs="+mn-cs"/>
          <w:kern w:val="24"/>
          <w:szCs w:val="20"/>
          <w:lang w:val="es-ES"/>
        </w:rPr>
        <w:t>www.mesopp.eu</w:t>
      </w:r>
    </w:hyperlink>
    <w:r w:rsidRPr="007C31F0">
      <w:rPr>
        <w:rFonts w:ascii="Calibri" w:hAnsi="Calibri"/>
        <w:lang w:val="en-US"/>
      </w:rPr>
      <w:t xml:space="preserve"> </w:t>
    </w:r>
    <w:r w:rsidRPr="007C31F0">
      <w:rPr>
        <w:rFonts w:ascii="Calibri" w:hAnsi="Calibri"/>
        <w:lang w:val="en-US"/>
      </w:rPr>
      <w:tab/>
    </w:r>
    <w:r>
      <w:rPr>
        <w:rFonts w:ascii="Calibri" w:hAnsi="Calibri"/>
        <w:lang w:val="en-US"/>
      </w:rPr>
      <w:tab/>
    </w:r>
    <w:r>
      <w:rPr>
        <w:rFonts w:ascii="Calibri" w:hAnsi="Calibri"/>
        <w:lang w:val="en-US"/>
      </w:rPr>
      <w:tab/>
    </w:r>
    <w:r w:rsidRPr="007C31F0">
      <w:rPr>
        <w:rFonts w:ascii="Calibri" w:hAnsi="Calibri"/>
        <w:lang w:val="en-US"/>
      </w:rPr>
      <w:t>Copyright © MESOPP Project Consortium</w:t>
    </w:r>
    <w:r w:rsidRPr="009E00C0">
      <w:rPr>
        <w:sz w:val="18"/>
        <w:szCs w:val="18"/>
      </w:rPr>
      <w:t xml:space="preserve"> </w:t>
    </w:r>
    <w:r w:rsidRPr="009E00C0">
      <w:rPr>
        <w:sz w:val="18"/>
        <w:szCs w:val="18"/>
      </w:rPr>
      <w:tab/>
    </w:r>
    <w:r>
      <w:rPr>
        <w:sz w:val="18"/>
        <w:szCs w:val="18"/>
      </w:rPr>
      <w:tab/>
    </w:r>
    <w:r w:rsidRPr="00594FFC">
      <w:rPr>
        <w:rStyle w:val="PageNumber"/>
      </w:rPr>
      <w:fldChar w:fldCharType="begin"/>
    </w:r>
    <w:r w:rsidRPr="00594FFC">
      <w:rPr>
        <w:rStyle w:val="PageNumber"/>
      </w:rPr>
      <w:instrText xml:space="preserve"> PAGE </w:instrText>
    </w:r>
    <w:r w:rsidRPr="00594FFC">
      <w:rPr>
        <w:rStyle w:val="PageNumber"/>
      </w:rPr>
      <w:fldChar w:fldCharType="separate"/>
    </w:r>
    <w:r>
      <w:rPr>
        <w:rStyle w:val="PageNumber"/>
        <w:noProof/>
      </w:rPr>
      <w:t>4</w:t>
    </w:r>
    <w:r w:rsidRPr="00594FFC">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0AFD7E" w14:textId="77777777" w:rsidR="007C29A3" w:rsidRDefault="007C29A3" w:rsidP="00177966">
      <w:r>
        <w:separator/>
      </w:r>
    </w:p>
  </w:footnote>
  <w:footnote w:type="continuationSeparator" w:id="0">
    <w:p w14:paraId="662E0260" w14:textId="77777777" w:rsidR="007C29A3" w:rsidRDefault="007C29A3" w:rsidP="00177966">
      <w:r>
        <w:continuationSeparator/>
      </w:r>
    </w:p>
  </w:footnote>
  <w:footnote w:type="continuationNotice" w:id="1">
    <w:p w14:paraId="31D31685" w14:textId="77777777" w:rsidR="007C29A3" w:rsidRDefault="007C29A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4A0" w:firstRow="1" w:lastRow="0" w:firstColumn="1" w:lastColumn="0" w:noHBand="0" w:noVBand="1"/>
    </w:tblPr>
    <w:tblGrid>
      <w:gridCol w:w="2235"/>
      <w:gridCol w:w="3260"/>
      <w:gridCol w:w="992"/>
      <w:gridCol w:w="1701"/>
      <w:gridCol w:w="1040"/>
    </w:tblGrid>
    <w:tr w:rsidR="00B6187D" w:rsidRPr="00BC09B4" w14:paraId="0B3CFA70" w14:textId="77777777" w:rsidTr="0001762F">
      <w:trPr>
        <w:cantSplit/>
        <w:trHeight w:hRule="exact" w:val="574"/>
      </w:trPr>
      <w:tc>
        <w:tcPr>
          <w:tcW w:w="9228" w:type="dxa"/>
          <w:gridSpan w:val="5"/>
        </w:tcPr>
        <w:p w14:paraId="6003C22C" w14:textId="43954E8C" w:rsidR="00B6187D" w:rsidRPr="00594FFC" w:rsidRDefault="007C29A3">
          <w:pPr>
            <w:pStyle w:val="Header"/>
          </w:pPr>
          <w:sdt>
            <w:sdtPr>
              <w:rPr>
                <w:lang w:val="en-US"/>
              </w:rPr>
              <w:alias w:val="Titre "/>
              <w:tag w:val="Titre "/>
              <w:id w:val="-487170487"/>
              <w:lock w:val="sdtLocked"/>
              <w:placeholder>
                <w:docPart w:val="2C429827327A46BCA7EFFAF9F90595FA"/>
              </w:placeholder>
              <w:dataBinding w:prefixMappings="xmlns:ns0='http://purl.org/dc/elements/1.1/' xmlns:ns1='http://schemas.openxmlformats.org/package/2006/metadata/core-properties' " w:xpath="/ns1:coreProperties[1]/ns0:title[1]" w:storeItemID="{6C3C8BC8-F283-45AE-878A-BAB7291924A1}"/>
              <w:text/>
            </w:sdtPr>
            <w:sdtEndPr/>
            <w:sdtContent>
              <w:r w:rsidR="00B6187D">
                <w:rPr>
                  <w:lang w:val="en-US"/>
                </w:rPr>
                <w:t>Modelisation of potential habitats of the main mesopelagic fish according to environmental parameters</w:t>
              </w:r>
            </w:sdtContent>
          </w:sdt>
          <w:r w:rsidR="00B6187D">
            <w:t xml:space="preserve"> </w:t>
          </w:r>
          <w:r w:rsidR="00B6187D" w:rsidRPr="001567BC">
            <w:rPr>
              <w:noProof/>
              <w:lang w:val="en-AU" w:eastAsia="en-AU"/>
            </w:rPr>
            <w:drawing>
              <wp:anchor distT="0" distB="0" distL="114300" distR="114300" simplePos="0" relativeHeight="251652096" behindDoc="0" locked="0" layoutInCell="1" allowOverlap="1" wp14:anchorId="6310BFD7" wp14:editId="149C9936">
                <wp:simplePos x="0" y="0"/>
                <wp:positionH relativeFrom="column">
                  <wp:posOffset>3499409</wp:posOffset>
                </wp:positionH>
                <wp:positionV relativeFrom="paragraph">
                  <wp:posOffset>-110692</wp:posOffset>
                </wp:positionV>
                <wp:extent cx="2282342" cy="305535"/>
                <wp:effectExtent l="0" t="0" r="0" b="0"/>
                <wp:wrapNone/>
                <wp:docPr id="23" name="Image 17" descr="log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2.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82342" cy="305535"/>
                        </a:xfrm>
                        <a:prstGeom prst="rect">
                          <a:avLst/>
                        </a:prstGeom>
                      </pic:spPr>
                    </pic:pic>
                  </a:graphicData>
                </a:graphic>
              </wp:anchor>
            </w:drawing>
          </w:r>
        </w:p>
      </w:tc>
    </w:tr>
    <w:tr w:rsidR="00B6187D" w:rsidRPr="005C7424" w14:paraId="2DD49DB7" w14:textId="77777777" w:rsidTr="005F5D94">
      <w:trPr>
        <w:cantSplit/>
        <w:trHeight w:hRule="exact" w:val="550"/>
      </w:trPr>
      <w:sdt>
        <w:sdtPr>
          <w:rPr>
            <w:lang w:val="en-US"/>
          </w:rPr>
          <w:alias w:val="Reference"/>
          <w:tag w:val="Reference"/>
          <w:id w:val="2038001997"/>
          <w:lock w:val="sdtLocked"/>
          <w:placeholder>
            <w:docPart w:val="C601781CF1FF409F94446B6C431D6F3D"/>
          </w:placeholder>
          <w:dataBinding w:prefixMappings="xmlns:ns0='http://schemas.microsoft.com/office/2006/metadata/properties' xmlns:ns1='http://www.w3.org/2001/XMLSchema-instance' xmlns:ns2='http://schemas.microsoft.com/office/infopath/2007/PartnerControls' xmlns:ns3='http://schemas.microsoft.com/sharepoint/v3' xmlns:ns4='24584a92-cfe5-42c0-880b-1dbd08f20e00' xmlns:ns5='http://schemas.microsoft.com/sharepoint/v3/fields' " w:xpath="/ns0:properties[1]/documentManagement[1]/ns4:Référence[1]" w:storeItemID="{266CB10C-B786-4360-BB67-6A5086C74641}"/>
          <w:text/>
        </w:sdtPr>
        <w:sdtEndPr/>
        <w:sdtContent>
          <w:tc>
            <w:tcPr>
              <w:tcW w:w="2235" w:type="dxa"/>
            </w:tcPr>
            <w:p w14:paraId="3D60561B" w14:textId="336ED27C" w:rsidR="00B6187D" w:rsidRPr="0089351E" w:rsidRDefault="00F21EBE">
              <w:pPr>
                <w:pStyle w:val="Header"/>
                <w:rPr>
                  <w:lang w:val="en-US"/>
                </w:rPr>
              </w:pPr>
              <w:r>
                <w:rPr>
                  <w:lang w:val="en-US"/>
                </w:rPr>
                <w:t>MESOPP-18-0004</w:t>
              </w:r>
            </w:p>
          </w:tc>
        </w:sdtContent>
      </w:sdt>
      <w:sdt>
        <w:sdtPr>
          <w:alias w:val="Nomenclature"/>
          <w:tag w:val="Nomenclature"/>
          <w:id w:val="-71281483"/>
          <w:lock w:val="sdtLocked"/>
          <w:placeholder>
            <w:docPart w:val="045C234ACD39453FAE85031DBAFF6DDD"/>
          </w:placeholder>
          <w:dataBinding w:prefixMappings="xmlns:ns0='http://schemas.microsoft.com/office/2006/metadata/properties' xmlns:ns1='http://www.w3.org/2001/XMLSchema-instance' xmlns:ns2='http://schemas.microsoft.com/office/infopath/2007/PartnerControls' xmlns:ns3='http://schemas.microsoft.com/sharepoint/v3' xmlns:ns4='24584a92-cfe5-42c0-880b-1dbd08f20e00' xmlns:ns5='http://schemas.microsoft.com/sharepoint/v3/fields' " w:xpath="/ns0:properties[1]/documentManagement[1]/ns4:Nomenclature[1]" w:storeItemID="{266CB10C-B786-4360-BB67-6A5086C74641}"/>
          <w:text/>
        </w:sdtPr>
        <w:sdtEndPr/>
        <w:sdtContent>
          <w:tc>
            <w:tcPr>
              <w:tcW w:w="3260" w:type="dxa"/>
            </w:tcPr>
            <w:p w14:paraId="33D42539" w14:textId="77777777" w:rsidR="00B6187D" w:rsidRPr="005C7424" w:rsidRDefault="00B6187D">
              <w:pPr>
                <w:pStyle w:val="Header"/>
              </w:pPr>
              <w:r>
                <w:t>Public</w:t>
              </w:r>
            </w:p>
          </w:tc>
        </w:sdtContent>
      </w:sdt>
      <w:tc>
        <w:tcPr>
          <w:tcW w:w="992" w:type="dxa"/>
        </w:tcPr>
        <w:p w14:paraId="6CA4C642" w14:textId="15DD521E" w:rsidR="00B6187D" w:rsidRPr="005C7424" w:rsidRDefault="00B6187D">
          <w:pPr>
            <w:pStyle w:val="Header"/>
          </w:pPr>
          <w:r w:rsidRPr="00594FFC">
            <w:t>V</w:t>
          </w:r>
          <w:sdt>
            <w:sdtPr>
              <w:alias w:val="Edition Number"/>
              <w:tag w:val="Edition Number"/>
              <w:id w:val="-366757838"/>
              <w:lock w:val="sdtLocked"/>
              <w:placeholder>
                <w:docPart w:val="F46D3E4E36DF40CD91B153CFB437B1DB"/>
              </w:placeholder>
              <w:dataBinding w:prefixMappings="xmlns:ns0='http://schemas.microsoft.com/office/2006/metadata/properties' xmlns:ns1='http://www.w3.org/2001/XMLSchema-instance' xmlns:ns2='http://schemas.microsoft.com/office/infopath/2007/PartnerControls' xmlns:ns3='http://schemas.microsoft.com/sharepoint/v3' xmlns:ns4='24584a92-cfe5-42c0-880b-1dbd08f20e00' xmlns:ns5='http://schemas.microsoft.com/sharepoint/v3/fields' " w:xpath="/ns0:properties[1]/documentManagement[1]/ns4:Indice_x0020_édition[1]" w:storeItemID="{266CB10C-B786-4360-BB67-6A5086C74641}"/>
              <w:text/>
            </w:sdtPr>
            <w:sdtEndPr/>
            <w:sdtContent>
              <w:r>
                <w:t>1</w:t>
              </w:r>
            </w:sdtContent>
          </w:sdt>
          <w:r w:rsidRPr="00594FFC">
            <w:t>.</w:t>
          </w:r>
          <w:sdt>
            <w:sdtPr>
              <w:alias w:val="Revision Number"/>
              <w:tag w:val="Revision Number"/>
              <w:id w:val="-1082067667"/>
              <w:lock w:val="sdtLocked"/>
              <w:placeholder>
                <w:docPart w:val="002191A6445C4E1E9DDB3CC44D7FACDD"/>
              </w:placeholder>
              <w:dataBinding w:prefixMappings="xmlns:ns0='http://schemas.microsoft.com/office/2006/metadata/properties' xmlns:ns1='http://www.w3.org/2001/XMLSchema-instance' xmlns:ns2='http://schemas.microsoft.com/office/infopath/2007/PartnerControls' xmlns:ns3='http://schemas.microsoft.com/sharepoint/v3' xmlns:ns4='24584a92-cfe5-42c0-880b-1dbd08f20e00' xmlns:ns5='http://schemas.microsoft.com/sharepoint/v3/fields' " w:xpath="/ns0:properties[1]/documentManagement[1]/ns4:Indice_x0020_révision[1]" w:storeItemID="{266CB10C-B786-4360-BB67-6A5086C74641}"/>
              <w:text/>
            </w:sdtPr>
            <w:sdtEndPr/>
            <w:sdtContent>
              <w:r w:rsidR="00922A31">
                <w:t>1</w:t>
              </w:r>
            </w:sdtContent>
          </w:sdt>
        </w:p>
      </w:tc>
      <w:sdt>
        <w:sdtPr>
          <w:alias w:val="Issue Date"/>
          <w:tag w:val="Issue Date"/>
          <w:id w:val="479889985"/>
          <w:lock w:val="sdtLocked"/>
          <w:placeholder>
            <w:docPart w:val="D4E9DDF268A446D28829B49CDC14D9E9"/>
          </w:placeholder>
          <w:dataBinding w:prefixMappings="xmlns:ns0='http://schemas.microsoft.com/office/2006/metadata/properties' xmlns:ns1='http://www.w3.org/2001/XMLSchema-instance' xmlns:ns2='http://schemas.microsoft.com/office/infopath/2007/PartnerControls' xmlns:ns3='http://schemas.microsoft.com/sharepoint/v3' xmlns:ns4='24584a92-cfe5-42c0-880b-1dbd08f20e00' xmlns:ns5='http://schemas.microsoft.com/sharepoint/v3/fields' " w:xpath="/ns0:properties[1]/documentManagement[1]/ns4:Date_x0020_version[1]" w:storeItemID="{266CB10C-B786-4360-BB67-6A5086C74641}"/>
          <w:date w:fullDate="2019-03-03T00:00:00Z">
            <w:dateFormat w:val="YYYY,MMM.DD"/>
            <w:lid w:val="en-GB"/>
            <w:storeMappedDataAs w:val="dateTime"/>
            <w:calendar w:val="gregorian"/>
          </w:date>
        </w:sdtPr>
        <w:sdtEndPr/>
        <w:sdtContent>
          <w:tc>
            <w:tcPr>
              <w:tcW w:w="1701" w:type="dxa"/>
            </w:tcPr>
            <w:p w14:paraId="0856C7EB" w14:textId="192C2299" w:rsidR="00B6187D" w:rsidRPr="005C7424" w:rsidRDefault="00922A31">
              <w:pPr>
                <w:pStyle w:val="Header"/>
              </w:pPr>
              <w:proofErr w:type="gramStart"/>
              <w:r>
                <w:t>2019,Mar.</w:t>
              </w:r>
              <w:proofErr w:type="gramEnd"/>
              <w:r>
                <w:t>03</w:t>
              </w:r>
            </w:p>
          </w:tc>
        </w:sdtContent>
      </w:sdt>
      <w:tc>
        <w:tcPr>
          <w:tcW w:w="1040" w:type="dxa"/>
        </w:tcPr>
        <w:p w14:paraId="04403241" w14:textId="77777777" w:rsidR="00B6187D" w:rsidRPr="00594FFC" w:rsidRDefault="00B6187D" w:rsidP="00177966">
          <w:pPr>
            <w:pStyle w:val="Header"/>
          </w:pPr>
        </w:p>
      </w:tc>
    </w:tr>
  </w:tbl>
  <w:p w14:paraId="50B32E80" w14:textId="77777777" w:rsidR="00B6187D" w:rsidRPr="00594FFC" w:rsidRDefault="00B6187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B19307" w14:textId="77777777" w:rsidR="00B6187D" w:rsidRDefault="00B6187D">
    <w:pPr>
      <w:pStyle w:val="Header"/>
    </w:pPr>
    <w:r w:rsidRPr="00AC008E">
      <w:rPr>
        <w:noProof/>
        <w:lang w:val="en-AU" w:eastAsia="en-AU"/>
      </w:rPr>
      <w:drawing>
        <wp:inline distT="0" distB="0" distL="0" distR="0" wp14:anchorId="7EB13BF6" wp14:editId="70563677">
          <wp:extent cx="5652770" cy="756542"/>
          <wp:effectExtent l="0" t="0" r="0" b="0"/>
          <wp:docPr id="24" name="Image 17" descr="log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2.png"/>
                  <pic:cNvPicPr/>
                </pic:nvPicPr>
                <pic:blipFill>
                  <a:blip r:embed="rId1"/>
                  <a:stretch>
                    <a:fillRect/>
                  </a:stretch>
                </pic:blipFill>
                <pic:spPr>
                  <a:xfrm>
                    <a:off x="0" y="0"/>
                    <a:ext cx="5652770" cy="756542"/>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BAE77C" w14:textId="77777777" w:rsidR="00B6187D" w:rsidRDefault="00B6187D"/>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4A0" w:firstRow="1" w:lastRow="0" w:firstColumn="1" w:lastColumn="0" w:noHBand="0" w:noVBand="1"/>
    </w:tblPr>
    <w:tblGrid>
      <w:gridCol w:w="2235"/>
      <w:gridCol w:w="3260"/>
      <w:gridCol w:w="142"/>
      <w:gridCol w:w="850"/>
      <w:gridCol w:w="1701"/>
      <w:gridCol w:w="236"/>
    </w:tblGrid>
    <w:tr w:rsidR="00B6187D" w:rsidRPr="00BC09B4" w14:paraId="5129C50B" w14:textId="77777777" w:rsidTr="00E13059">
      <w:trPr>
        <w:gridAfter w:val="3"/>
        <w:wAfter w:w="2787" w:type="dxa"/>
        <w:cantSplit/>
        <w:trHeight w:hRule="exact" w:val="444"/>
      </w:trPr>
      <w:tc>
        <w:tcPr>
          <w:tcW w:w="5637" w:type="dxa"/>
          <w:gridSpan w:val="3"/>
        </w:tcPr>
        <w:p w14:paraId="33409F3D" w14:textId="78AE6737" w:rsidR="00B6187D" w:rsidRPr="00E13059" w:rsidRDefault="007C29A3" w:rsidP="00E13059">
          <w:pPr>
            <w:pStyle w:val="Header"/>
            <w:rPr>
              <w:sz w:val="18"/>
            </w:rPr>
          </w:pPr>
          <w:sdt>
            <w:sdtPr>
              <w:rPr>
                <w:sz w:val="18"/>
                <w:lang w:val="en-US"/>
              </w:rPr>
              <w:alias w:val="Titre "/>
              <w:tag w:val="Titre "/>
              <w:id w:val="1789397753"/>
              <w:lock w:val="sdtLocked"/>
              <w:dataBinding w:prefixMappings="xmlns:ns0='http://purl.org/dc/elements/1.1/' xmlns:ns1='http://schemas.openxmlformats.org/package/2006/metadata/core-properties' " w:xpath="/ns1:coreProperties[1]/ns0:title[1]" w:storeItemID="{6C3C8BC8-F283-45AE-878A-BAB7291924A1}"/>
              <w:text/>
            </w:sdtPr>
            <w:sdtEndPr/>
            <w:sdtContent>
              <w:r w:rsidR="00B6187D">
                <w:rPr>
                  <w:sz w:val="18"/>
                  <w:lang w:val="en-US"/>
                </w:rPr>
                <w:t>Modelisation of potential habitats of the main mesopelagic fish according to environmental parameters</w:t>
              </w:r>
            </w:sdtContent>
          </w:sdt>
          <w:r w:rsidR="00B6187D" w:rsidRPr="00E13059">
            <w:rPr>
              <w:sz w:val="18"/>
            </w:rPr>
            <w:t xml:space="preserve"> </w:t>
          </w:r>
          <w:r w:rsidR="00B6187D" w:rsidRPr="00E13059">
            <w:rPr>
              <w:noProof/>
              <w:sz w:val="18"/>
              <w:lang w:val="en-AU" w:eastAsia="en-AU"/>
            </w:rPr>
            <w:drawing>
              <wp:anchor distT="0" distB="0" distL="114300" distR="114300" simplePos="0" relativeHeight="251660288" behindDoc="0" locked="0" layoutInCell="1" allowOverlap="1" wp14:anchorId="367454DD" wp14:editId="27E86FD6">
                <wp:simplePos x="0" y="0"/>
                <wp:positionH relativeFrom="column">
                  <wp:posOffset>3499409</wp:posOffset>
                </wp:positionH>
                <wp:positionV relativeFrom="paragraph">
                  <wp:posOffset>-110692</wp:posOffset>
                </wp:positionV>
                <wp:extent cx="2282342" cy="305535"/>
                <wp:effectExtent l="0" t="0" r="0" b="0"/>
                <wp:wrapNone/>
                <wp:docPr id="25" name="Image 17" descr="log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2.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82342" cy="305535"/>
                        </a:xfrm>
                        <a:prstGeom prst="rect">
                          <a:avLst/>
                        </a:prstGeom>
                      </pic:spPr>
                    </pic:pic>
                  </a:graphicData>
                </a:graphic>
              </wp:anchor>
            </w:drawing>
          </w:r>
        </w:p>
      </w:tc>
    </w:tr>
    <w:tr w:rsidR="00B6187D" w:rsidRPr="005C7424" w14:paraId="41176996" w14:textId="77777777" w:rsidTr="00E13059">
      <w:trPr>
        <w:cantSplit/>
        <w:trHeight w:hRule="exact" w:val="550"/>
      </w:trPr>
      <w:sdt>
        <w:sdtPr>
          <w:rPr>
            <w:lang w:val="en-US"/>
          </w:rPr>
          <w:alias w:val="Reference"/>
          <w:tag w:val="Reference"/>
          <w:id w:val="828482514"/>
          <w:lock w:val="sdtLocked"/>
          <w:dataBinding w:prefixMappings="xmlns:ns0='http://schemas.microsoft.com/office/2006/metadata/properties' xmlns:ns1='http://www.w3.org/2001/XMLSchema-instance' xmlns:ns2='http://schemas.microsoft.com/office/infopath/2007/PartnerControls' xmlns:ns3='http://schemas.microsoft.com/sharepoint/v3' xmlns:ns4='24584a92-cfe5-42c0-880b-1dbd08f20e00' xmlns:ns5='http://schemas.microsoft.com/sharepoint/v3/fields' " w:xpath="/ns0:properties[1]/documentManagement[1]/ns4:Référence[1]" w:storeItemID="{266CB10C-B786-4360-BB67-6A5086C74641}"/>
          <w:text/>
        </w:sdtPr>
        <w:sdtEndPr/>
        <w:sdtContent>
          <w:tc>
            <w:tcPr>
              <w:tcW w:w="2235" w:type="dxa"/>
            </w:tcPr>
            <w:p w14:paraId="4A7927B0" w14:textId="4E65D951" w:rsidR="00B6187D" w:rsidRPr="0089351E" w:rsidRDefault="00F21EBE">
              <w:pPr>
                <w:pStyle w:val="Header"/>
                <w:rPr>
                  <w:lang w:val="en-US"/>
                </w:rPr>
              </w:pPr>
              <w:r>
                <w:rPr>
                  <w:lang w:val="en-US"/>
                </w:rPr>
                <w:t>MESOPP-18-0004</w:t>
              </w:r>
            </w:p>
          </w:tc>
        </w:sdtContent>
      </w:sdt>
      <w:sdt>
        <w:sdtPr>
          <w:alias w:val="Nomenclature"/>
          <w:tag w:val="Nomenclature"/>
          <w:id w:val="597299977"/>
          <w:lock w:val="sdtLocked"/>
          <w:dataBinding w:prefixMappings="xmlns:ns0='http://schemas.microsoft.com/office/2006/metadata/properties' xmlns:ns1='http://www.w3.org/2001/XMLSchema-instance' xmlns:ns2='http://schemas.microsoft.com/office/infopath/2007/PartnerControls' xmlns:ns3='http://schemas.microsoft.com/sharepoint/v3' xmlns:ns4='24584a92-cfe5-42c0-880b-1dbd08f20e00' xmlns:ns5='http://schemas.microsoft.com/sharepoint/v3/fields' " w:xpath="/ns0:properties[1]/documentManagement[1]/ns4:Nomenclature[1]" w:storeItemID="{266CB10C-B786-4360-BB67-6A5086C74641}"/>
          <w:text/>
        </w:sdtPr>
        <w:sdtEndPr/>
        <w:sdtContent>
          <w:tc>
            <w:tcPr>
              <w:tcW w:w="3260" w:type="dxa"/>
            </w:tcPr>
            <w:p w14:paraId="24F46BF9" w14:textId="77777777" w:rsidR="00B6187D" w:rsidRPr="005C7424" w:rsidRDefault="00B6187D">
              <w:pPr>
                <w:pStyle w:val="Header"/>
              </w:pPr>
              <w:r>
                <w:t>Public</w:t>
              </w:r>
            </w:p>
          </w:tc>
        </w:sdtContent>
      </w:sdt>
      <w:tc>
        <w:tcPr>
          <w:tcW w:w="992" w:type="dxa"/>
          <w:gridSpan w:val="2"/>
        </w:tcPr>
        <w:p w14:paraId="4FDEEB8D" w14:textId="4929554F" w:rsidR="00B6187D" w:rsidRPr="005C7424" w:rsidRDefault="00B6187D">
          <w:pPr>
            <w:pStyle w:val="Header"/>
          </w:pPr>
          <w:r w:rsidRPr="00594FFC">
            <w:t>V</w:t>
          </w:r>
          <w:sdt>
            <w:sdtPr>
              <w:alias w:val="Edition Number"/>
              <w:tag w:val="Edition Number"/>
              <w:id w:val="-2009748794"/>
              <w:lock w:val="sdtLocked"/>
              <w:dataBinding w:prefixMappings="xmlns:ns0='http://schemas.microsoft.com/office/2006/metadata/properties' xmlns:ns1='http://www.w3.org/2001/XMLSchema-instance' xmlns:ns2='http://schemas.microsoft.com/office/infopath/2007/PartnerControls' xmlns:ns3='http://schemas.microsoft.com/sharepoint/v3' xmlns:ns4='24584a92-cfe5-42c0-880b-1dbd08f20e00' xmlns:ns5='http://schemas.microsoft.com/sharepoint/v3/fields' " w:xpath="/ns0:properties[1]/documentManagement[1]/ns4:Indice_x0020_édition[1]" w:storeItemID="{266CB10C-B786-4360-BB67-6A5086C74641}"/>
              <w:text/>
            </w:sdtPr>
            <w:sdtEndPr/>
            <w:sdtContent>
              <w:r>
                <w:t>1</w:t>
              </w:r>
            </w:sdtContent>
          </w:sdt>
          <w:r w:rsidRPr="00594FFC">
            <w:t>.</w:t>
          </w:r>
          <w:sdt>
            <w:sdtPr>
              <w:alias w:val="Revision Number"/>
              <w:tag w:val="Revision Number"/>
              <w:id w:val="-997572949"/>
              <w:lock w:val="sdtLocked"/>
              <w:dataBinding w:prefixMappings="xmlns:ns0='http://schemas.microsoft.com/office/2006/metadata/properties' xmlns:ns1='http://www.w3.org/2001/XMLSchema-instance' xmlns:ns2='http://schemas.microsoft.com/office/infopath/2007/PartnerControls' xmlns:ns3='http://schemas.microsoft.com/sharepoint/v3' xmlns:ns4='24584a92-cfe5-42c0-880b-1dbd08f20e00' xmlns:ns5='http://schemas.microsoft.com/sharepoint/v3/fields' " w:xpath="/ns0:properties[1]/documentManagement[1]/ns4:Indice_x0020_révision[1]" w:storeItemID="{266CB10C-B786-4360-BB67-6A5086C74641}"/>
              <w:text/>
            </w:sdtPr>
            <w:sdtEndPr/>
            <w:sdtContent>
              <w:r w:rsidR="00922A31">
                <w:t>1</w:t>
              </w:r>
            </w:sdtContent>
          </w:sdt>
        </w:p>
      </w:tc>
      <w:sdt>
        <w:sdtPr>
          <w:alias w:val="Issue Date"/>
          <w:tag w:val="Issue Date"/>
          <w:id w:val="-2095468790"/>
          <w:lock w:val="sdtLocked"/>
          <w:dataBinding w:prefixMappings="xmlns:ns0='http://schemas.microsoft.com/office/2006/metadata/properties' xmlns:ns1='http://www.w3.org/2001/XMLSchema-instance' xmlns:ns2='http://schemas.microsoft.com/office/infopath/2007/PartnerControls' xmlns:ns3='http://schemas.microsoft.com/sharepoint/v3' xmlns:ns4='24584a92-cfe5-42c0-880b-1dbd08f20e00' xmlns:ns5='http://schemas.microsoft.com/sharepoint/v3/fields' " w:xpath="/ns0:properties[1]/documentManagement[1]/ns4:Date_x0020_version[1]" w:storeItemID="{266CB10C-B786-4360-BB67-6A5086C74641}"/>
          <w:date w:fullDate="2019-03-03T00:00:00Z">
            <w:dateFormat w:val="YYYY,MMM.DD"/>
            <w:lid w:val="en-GB"/>
            <w:storeMappedDataAs w:val="dateTime"/>
            <w:calendar w:val="gregorian"/>
          </w:date>
        </w:sdtPr>
        <w:sdtEndPr/>
        <w:sdtContent>
          <w:tc>
            <w:tcPr>
              <w:tcW w:w="1701" w:type="dxa"/>
            </w:tcPr>
            <w:p w14:paraId="35FF4DA0" w14:textId="2E369141" w:rsidR="00B6187D" w:rsidRPr="005C7424" w:rsidRDefault="00922A31">
              <w:pPr>
                <w:pStyle w:val="Header"/>
              </w:pPr>
              <w:proofErr w:type="gramStart"/>
              <w:r>
                <w:t>2019,Mar.</w:t>
              </w:r>
              <w:proofErr w:type="gramEnd"/>
              <w:r>
                <w:t>03</w:t>
              </w:r>
            </w:p>
          </w:tc>
        </w:sdtContent>
      </w:sdt>
      <w:tc>
        <w:tcPr>
          <w:tcW w:w="236" w:type="dxa"/>
        </w:tcPr>
        <w:p w14:paraId="1E51BEF4" w14:textId="77777777" w:rsidR="00B6187D" w:rsidRPr="00594FFC" w:rsidRDefault="00B6187D" w:rsidP="00177966">
          <w:pPr>
            <w:pStyle w:val="Header"/>
          </w:pPr>
        </w:p>
      </w:tc>
    </w:tr>
  </w:tbl>
  <w:p w14:paraId="3A3A7C41" w14:textId="77777777" w:rsidR="00B6187D" w:rsidRPr="002C166B" w:rsidRDefault="00B618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1E27BF"/>
    <w:multiLevelType w:val="hybridMultilevel"/>
    <w:tmpl w:val="393E8812"/>
    <w:lvl w:ilvl="0" w:tplc="1E46D768">
      <w:start w:val="1"/>
      <w:numFmt w:val="decimal"/>
      <w:lvlText w:val="%1."/>
      <w:lvlJc w:val="left"/>
      <w:pPr>
        <w:ind w:left="360" w:hanging="360"/>
      </w:p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 w15:restartNumberingAfterBreak="0">
    <w:nsid w:val="0F060D07"/>
    <w:multiLevelType w:val="multilevel"/>
    <w:tmpl w:val="EADCC002"/>
    <w:lvl w:ilvl="0">
      <w:start w:val="1"/>
      <w:numFmt w:val="decimal"/>
      <w:pStyle w:val="Heading1"/>
      <w:suff w:val="space"/>
      <w:lvlText w:val="%1."/>
      <w:lvlJc w:val="left"/>
      <w:pPr>
        <w:ind w:left="360" w:hanging="360"/>
      </w:pPr>
    </w:lvl>
    <w:lvl w:ilvl="1">
      <w:start w:val="1"/>
      <w:numFmt w:val="decimal"/>
      <w:pStyle w:val="Heading2"/>
      <w:suff w:val="space"/>
      <w:lvlText w:val="%1.%2."/>
      <w:lvlJc w:val="left"/>
      <w:pPr>
        <w:ind w:left="8081" w:firstLine="0"/>
      </w:pPr>
    </w:lvl>
    <w:lvl w:ilvl="2">
      <w:start w:val="1"/>
      <w:numFmt w:val="decimal"/>
      <w:pStyle w:val="Heading3"/>
      <w:suff w:val="space"/>
      <w:lvlText w:val="%1.%2.%3."/>
      <w:lvlJc w:val="left"/>
      <w:pPr>
        <w:ind w:left="0" w:firstLine="0"/>
      </w:pPr>
    </w:lvl>
    <w:lvl w:ilvl="3">
      <w:start w:val="1"/>
      <w:numFmt w:val="decimal"/>
      <w:pStyle w:val="Heading4"/>
      <w:suff w:val="space"/>
      <w:lvlText w:val="%1.%2.%3.%4."/>
      <w:lvlJc w:val="left"/>
      <w:pPr>
        <w:ind w:left="0" w:firstLine="0"/>
      </w:pPr>
    </w:lvl>
    <w:lvl w:ilvl="4">
      <w:start w:val="1"/>
      <w:numFmt w:val="decimal"/>
      <w:pStyle w:val="Heading5"/>
      <w:suff w:val="space"/>
      <w:lvlText w:val="%1.%2.%3.%4.%5."/>
      <w:lvlJc w:val="left"/>
      <w:pPr>
        <w:ind w:left="0" w:firstLine="0"/>
      </w:pPr>
    </w:lvl>
    <w:lvl w:ilvl="5">
      <w:start w:val="1"/>
      <w:numFmt w:val="decimal"/>
      <w:pStyle w:val="Heading6"/>
      <w:suff w:val="space"/>
      <w:lvlText w:val="%1.%2.%3.%4.%5.%6."/>
      <w:lvlJc w:val="left"/>
      <w:pPr>
        <w:ind w:left="0" w:firstLine="0"/>
      </w:pPr>
    </w:lvl>
    <w:lvl w:ilvl="6">
      <w:start w:val="1"/>
      <w:numFmt w:val="decimal"/>
      <w:pStyle w:val="Heading7"/>
      <w:suff w:val="space"/>
      <w:lvlText w:val="%1.%2.%3.%4.%5.%6.%7."/>
      <w:lvlJc w:val="left"/>
      <w:pPr>
        <w:ind w:left="0" w:firstLine="0"/>
      </w:pPr>
    </w:lvl>
    <w:lvl w:ilvl="7">
      <w:start w:val="1"/>
      <w:numFmt w:val="decimal"/>
      <w:pStyle w:val="Heading8"/>
      <w:lvlText w:val="%1.%2.%3.%4.%5.%6.%7.%8."/>
      <w:lvlJc w:val="left"/>
      <w:pPr>
        <w:tabs>
          <w:tab w:val="num" w:pos="2160"/>
        </w:tabs>
        <w:ind w:left="0" w:firstLine="0"/>
      </w:pPr>
    </w:lvl>
    <w:lvl w:ilvl="8">
      <w:start w:val="1"/>
      <w:numFmt w:val="decimal"/>
      <w:pStyle w:val="Heading9"/>
      <w:lvlText w:val="%1.%2.%3.%4.%5.%6.%7.%8.%9."/>
      <w:lvlJc w:val="left"/>
      <w:pPr>
        <w:tabs>
          <w:tab w:val="num" w:pos="2520"/>
        </w:tabs>
        <w:ind w:left="0" w:firstLine="0"/>
      </w:pPr>
    </w:lvl>
  </w:abstractNum>
  <w:abstractNum w:abstractNumId="2" w15:restartNumberingAfterBreak="0">
    <w:nsid w:val="1A655506"/>
    <w:multiLevelType w:val="multilevel"/>
    <w:tmpl w:val="139477A4"/>
    <w:styleLink w:val="Style1"/>
    <w:lvl w:ilvl="0">
      <w:start w:val="1"/>
      <w:numFmt w:val="upperLetter"/>
      <w:pStyle w:val="Annexe1"/>
      <w:suff w:val="space"/>
      <w:lvlText w:val="Appendix %1 -"/>
      <w:lvlJc w:val="left"/>
      <w:pPr>
        <w:ind w:left="0" w:firstLine="0"/>
      </w:pPr>
      <w:rPr>
        <w:rFonts w:hint="default"/>
      </w:rPr>
    </w:lvl>
    <w:lvl w:ilvl="1">
      <w:start w:val="1"/>
      <w:numFmt w:val="decimal"/>
      <w:pStyle w:val="Annexe2"/>
      <w:suff w:val="nothing"/>
      <w:lvlText w:val="Appendix %1 %2 -"/>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 w15:restartNumberingAfterBreak="0">
    <w:nsid w:val="1E6A0A3D"/>
    <w:multiLevelType w:val="multilevel"/>
    <w:tmpl w:val="139477A4"/>
    <w:numStyleLink w:val="Style1"/>
  </w:abstractNum>
  <w:num w:numId="1">
    <w:abstractNumId w:val="1"/>
  </w:num>
  <w:num w:numId="2">
    <w:abstractNumId w:val="1"/>
  </w:num>
  <w:num w:numId="3">
    <w:abstractNumId w:val="2"/>
  </w:num>
  <w:num w:numId="4">
    <w:abstractNumId w:val="3"/>
    <w:lvlOverride w:ilvl="0">
      <w:lvl w:ilvl="0">
        <w:start w:val="1"/>
        <w:numFmt w:val="upperLetter"/>
        <w:pStyle w:val="Annexe1"/>
        <w:suff w:val="space"/>
        <w:lvlText w:val="Appendix %1 -"/>
        <w:lvlJc w:val="left"/>
        <w:pPr>
          <w:ind w:left="0" w:firstLine="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Override>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0F59"/>
    <w:rsid w:val="0000007C"/>
    <w:rsid w:val="0000122D"/>
    <w:rsid w:val="00001394"/>
    <w:rsid w:val="000028B2"/>
    <w:rsid w:val="00004F84"/>
    <w:rsid w:val="00007646"/>
    <w:rsid w:val="00007EF5"/>
    <w:rsid w:val="000109BE"/>
    <w:rsid w:val="00010E2F"/>
    <w:rsid w:val="00012ACB"/>
    <w:rsid w:val="000130B3"/>
    <w:rsid w:val="0001762F"/>
    <w:rsid w:val="00022A27"/>
    <w:rsid w:val="000244D0"/>
    <w:rsid w:val="00027FA3"/>
    <w:rsid w:val="00030912"/>
    <w:rsid w:val="00036BC8"/>
    <w:rsid w:val="00036BF3"/>
    <w:rsid w:val="00036C44"/>
    <w:rsid w:val="00041301"/>
    <w:rsid w:val="000419D5"/>
    <w:rsid w:val="00046154"/>
    <w:rsid w:val="00046D3C"/>
    <w:rsid w:val="00050BAB"/>
    <w:rsid w:val="00053290"/>
    <w:rsid w:val="000535A4"/>
    <w:rsid w:val="00060DD9"/>
    <w:rsid w:val="00062396"/>
    <w:rsid w:val="0006265D"/>
    <w:rsid w:val="00062F49"/>
    <w:rsid w:val="0006366B"/>
    <w:rsid w:val="00063A2D"/>
    <w:rsid w:val="00064ACA"/>
    <w:rsid w:val="0006641C"/>
    <w:rsid w:val="00073223"/>
    <w:rsid w:val="00075830"/>
    <w:rsid w:val="0007592F"/>
    <w:rsid w:val="0007703D"/>
    <w:rsid w:val="00080F84"/>
    <w:rsid w:val="00081102"/>
    <w:rsid w:val="0008374E"/>
    <w:rsid w:val="00085F83"/>
    <w:rsid w:val="00092FA4"/>
    <w:rsid w:val="000934A4"/>
    <w:rsid w:val="000952B3"/>
    <w:rsid w:val="000A2EBA"/>
    <w:rsid w:val="000A461B"/>
    <w:rsid w:val="000A4FF6"/>
    <w:rsid w:val="000A5330"/>
    <w:rsid w:val="000A5D2A"/>
    <w:rsid w:val="000A6D96"/>
    <w:rsid w:val="000B3E96"/>
    <w:rsid w:val="000C0D52"/>
    <w:rsid w:val="000C22C5"/>
    <w:rsid w:val="000C2CB5"/>
    <w:rsid w:val="000C7760"/>
    <w:rsid w:val="000D23D8"/>
    <w:rsid w:val="000D46B8"/>
    <w:rsid w:val="000D78A8"/>
    <w:rsid w:val="000E06B6"/>
    <w:rsid w:val="000E2B03"/>
    <w:rsid w:val="000E3DF4"/>
    <w:rsid w:val="000E4828"/>
    <w:rsid w:val="000E6955"/>
    <w:rsid w:val="000F04FE"/>
    <w:rsid w:val="000F4D58"/>
    <w:rsid w:val="000F6DA9"/>
    <w:rsid w:val="00100922"/>
    <w:rsid w:val="00104DC1"/>
    <w:rsid w:val="00106CD7"/>
    <w:rsid w:val="00111AA4"/>
    <w:rsid w:val="00112148"/>
    <w:rsid w:val="00112EA8"/>
    <w:rsid w:val="00117053"/>
    <w:rsid w:val="0012070A"/>
    <w:rsid w:val="001233EE"/>
    <w:rsid w:val="00126A4D"/>
    <w:rsid w:val="00131DCF"/>
    <w:rsid w:val="00134814"/>
    <w:rsid w:val="00137893"/>
    <w:rsid w:val="0014201A"/>
    <w:rsid w:val="001457DD"/>
    <w:rsid w:val="0015058E"/>
    <w:rsid w:val="00153FC3"/>
    <w:rsid w:val="00155AA1"/>
    <w:rsid w:val="00156DAF"/>
    <w:rsid w:val="00163AA5"/>
    <w:rsid w:val="00164013"/>
    <w:rsid w:val="00171495"/>
    <w:rsid w:val="00177966"/>
    <w:rsid w:val="00177C47"/>
    <w:rsid w:val="0018377D"/>
    <w:rsid w:val="0018616E"/>
    <w:rsid w:val="001867E7"/>
    <w:rsid w:val="00186CA5"/>
    <w:rsid w:val="0019042D"/>
    <w:rsid w:val="00190BF1"/>
    <w:rsid w:val="00190ED5"/>
    <w:rsid w:val="00191232"/>
    <w:rsid w:val="0019553B"/>
    <w:rsid w:val="00195C93"/>
    <w:rsid w:val="0019679D"/>
    <w:rsid w:val="001A2E78"/>
    <w:rsid w:val="001A3F0F"/>
    <w:rsid w:val="001A4A05"/>
    <w:rsid w:val="001A76FF"/>
    <w:rsid w:val="001B3CC9"/>
    <w:rsid w:val="001B46E7"/>
    <w:rsid w:val="001C0447"/>
    <w:rsid w:val="001C0972"/>
    <w:rsid w:val="001C41E4"/>
    <w:rsid w:val="001C4AAE"/>
    <w:rsid w:val="001C7F92"/>
    <w:rsid w:val="001D1BAB"/>
    <w:rsid w:val="001E3260"/>
    <w:rsid w:val="001E763E"/>
    <w:rsid w:val="001E7ED1"/>
    <w:rsid w:val="001E7EDD"/>
    <w:rsid w:val="001F04E4"/>
    <w:rsid w:val="001F20C6"/>
    <w:rsid w:val="001F2356"/>
    <w:rsid w:val="001F39A1"/>
    <w:rsid w:val="001F6202"/>
    <w:rsid w:val="001F66DE"/>
    <w:rsid w:val="00203230"/>
    <w:rsid w:val="0021005D"/>
    <w:rsid w:val="002103F5"/>
    <w:rsid w:val="00210F09"/>
    <w:rsid w:val="0021146D"/>
    <w:rsid w:val="002163CA"/>
    <w:rsid w:val="002169E7"/>
    <w:rsid w:val="00222832"/>
    <w:rsid w:val="002327EF"/>
    <w:rsid w:val="00234FCC"/>
    <w:rsid w:val="00240A3D"/>
    <w:rsid w:val="00241392"/>
    <w:rsid w:val="00243A5C"/>
    <w:rsid w:val="0024425F"/>
    <w:rsid w:val="00244525"/>
    <w:rsid w:val="00244F3F"/>
    <w:rsid w:val="00247E90"/>
    <w:rsid w:val="00252509"/>
    <w:rsid w:val="00253C3E"/>
    <w:rsid w:val="00253EDB"/>
    <w:rsid w:val="00254056"/>
    <w:rsid w:val="00254597"/>
    <w:rsid w:val="002560C5"/>
    <w:rsid w:val="00256AFC"/>
    <w:rsid w:val="002614D8"/>
    <w:rsid w:val="00261AD9"/>
    <w:rsid w:val="00261D66"/>
    <w:rsid w:val="002622C0"/>
    <w:rsid w:val="002633F6"/>
    <w:rsid w:val="00264A49"/>
    <w:rsid w:val="0026730D"/>
    <w:rsid w:val="002674C9"/>
    <w:rsid w:val="002708BE"/>
    <w:rsid w:val="002722B8"/>
    <w:rsid w:val="00273E45"/>
    <w:rsid w:val="00273F38"/>
    <w:rsid w:val="00275B38"/>
    <w:rsid w:val="00276B06"/>
    <w:rsid w:val="00277EF3"/>
    <w:rsid w:val="00280730"/>
    <w:rsid w:val="00280772"/>
    <w:rsid w:val="002864A2"/>
    <w:rsid w:val="002917B1"/>
    <w:rsid w:val="00294AC0"/>
    <w:rsid w:val="002A2A61"/>
    <w:rsid w:val="002B2097"/>
    <w:rsid w:val="002B3825"/>
    <w:rsid w:val="002B4C84"/>
    <w:rsid w:val="002B51F6"/>
    <w:rsid w:val="002B79A4"/>
    <w:rsid w:val="002C0C93"/>
    <w:rsid w:val="002C166B"/>
    <w:rsid w:val="002D06FC"/>
    <w:rsid w:val="002D1199"/>
    <w:rsid w:val="002D1731"/>
    <w:rsid w:val="002D710F"/>
    <w:rsid w:val="002E0641"/>
    <w:rsid w:val="002E0B83"/>
    <w:rsid w:val="002E26D6"/>
    <w:rsid w:val="002F2EF4"/>
    <w:rsid w:val="00300DC9"/>
    <w:rsid w:val="003056B0"/>
    <w:rsid w:val="003100C7"/>
    <w:rsid w:val="0031131E"/>
    <w:rsid w:val="003131D8"/>
    <w:rsid w:val="003143E8"/>
    <w:rsid w:val="0031568E"/>
    <w:rsid w:val="0032174B"/>
    <w:rsid w:val="00325491"/>
    <w:rsid w:val="00326802"/>
    <w:rsid w:val="00326F3E"/>
    <w:rsid w:val="00330408"/>
    <w:rsid w:val="0033219C"/>
    <w:rsid w:val="0033401E"/>
    <w:rsid w:val="00342308"/>
    <w:rsid w:val="003433AA"/>
    <w:rsid w:val="00344BFD"/>
    <w:rsid w:val="0034683E"/>
    <w:rsid w:val="00346FB7"/>
    <w:rsid w:val="00350C27"/>
    <w:rsid w:val="003567AE"/>
    <w:rsid w:val="00357351"/>
    <w:rsid w:val="00360009"/>
    <w:rsid w:val="00360326"/>
    <w:rsid w:val="003603BF"/>
    <w:rsid w:val="0036407D"/>
    <w:rsid w:val="003648FA"/>
    <w:rsid w:val="00364B54"/>
    <w:rsid w:val="00364FE5"/>
    <w:rsid w:val="003663E0"/>
    <w:rsid w:val="00366E72"/>
    <w:rsid w:val="00371D04"/>
    <w:rsid w:val="0037535A"/>
    <w:rsid w:val="003756C5"/>
    <w:rsid w:val="00375D1C"/>
    <w:rsid w:val="003767E3"/>
    <w:rsid w:val="00377940"/>
    <w:rsid w:val="003860E3"/>
    <w:rsid w:val="0038633B"/>
    <w:rsid w:val="003901EC"/>
    <w:rsid w:val="003A32BD"/>
    <w:rsid w:val="003A38C6"/>
    <w:rsid w:val="003A59E9"/>
    <w:rsid w:val="003A64DF"/>
    <w:rsid w:val="003A66E4"/>
    <w:rsid w:val="003A6ED9"/>
    <w:rsid w:val="003B2163"/>
    <w:rsid w:val="003B30A9"/>
    <w:rsid w:val="003B32C6"/>
    <w:rsid w:val="003B6CDE"/>
    <w:rsid w:val="003C1085"/>
    <w:rsid w:val="003C217F"/>
    <w:rsid w:val="003C720C"/>
    <w:rsid w:val="003C7B1C"/>
    <w:rsid w:val="003D042B"/>
    <w:rsid w:val="003D2F7D"/>
    <w:rsid w:val="003D4AD5"/>
    <w:rsid w:val="003D7A25"/>
    <w:rsid w:val="003E1DE0"/>
    <w:rsid w:val="003E227B"/>
    <w:rsid w:val="003E46FF"/>
    <w:rsid w:val="003E52EB"/>
    <w:rsid w:val="003E5E20"/>
    <w:rsid w:val="003E74D8"/>
    <w:rsid w:val="003E7F55"/>
    <w:rsid w:val="003F6777"/>
    <w:rsid w:val="003F7D17"/>
    <w:rsid w:val="00401952"/>
    <w:rsid w:val="00404958"/>
    <w:rsid w:val="0040516E"/>
    <w:rsid w:val="00405F53"/>
    <w:rsid w:val="0040664A"/>
    <w:rsid w:val="004103ED"/>
    <w:rsid w:val="0041093F"/>
    <w:rsid w:val="004132D9"/>
    <w:rsid w:val="004154DF"/>
    <w:rsid w:val="0042799F"/>
    <w:rsid w:val="004348BD"/>
    <w:rsid w:val="00434915"/>
    <w:rsid w:val="00436BC4"/>
    <w:rsid w:val="00441AC8"/>
    <w:rsid w:val="004436B8"/>
    <w:rsid w:val="00447C2C"/>
    <w:rsid w:val="00452D16"/>
    <w:rsid w:val="0045447D"/>
    <w:rsid w:val="004552EB"/>
    <w:rsid w:val="00455FB2"/>
    <w:rsid w:val="0045648E"/>
    <w:rsid w:val="004600F2"/>
    <w:rsid w:val="00461AC2"/>
    <w:rsid w:val="004621A8"/>
    <w:rsid w:val="004625E3"/>
    <w:rsid w:val="00462C79"/>
    <w:rsid w:val="00463A7E"/>
    <w:rsid w:val="00465605"/>
    <w:rsid w:val="00472946"/>
    <w:rsid w:val="0047343B"/>
    <w:rsid w:val="00473F8F"/>
    <w:rsid w:val="00475E41"/>
    <w:rsid w:val="0047655B"/>
    <w:rsid w:val="0048289A"/>
    <w:rsid w:val="004844AB"/>
    <w:rsid w:val="00487BC9"/>
    <w:rsid w:val="00487D56"/>
    <w:rsid w:val="00492BD5"/>
    <w:rsid w:val="00494081"/>
    <w:rsid w:val="00496244"/>
    <w:rsid w:val="004974C1"/>
    <w:rsid w:val="004A3116"/>
    <w:rsid w:val="004A35DB"/>
    <w:rsid w:val="004A4DE1"/>
    <w:rsid w:val="004B1958"/>
    <w:rsid w:val="004B195A"/>
    <w:rsid w:val="004B5A69"/>
    <w:rsid w:val="004B6380"/>
    <w:rsid w:val="004C44B3"/>
    <w:rsid w:val="004C5C68"/>
    <w:rsid w:val="004C5E4D"/>
    <w:rsid w:val="004C6D55"/>
    <w:rsid w:val="004C7A81"/>
    <w:rsid w:val="004D3B70"/>
    <w:rsid w:val="004D40D0"/>
    <w:rsid w:val="004D5DC8"/>
    <w:rsid w:val="004D7BCD"/>
    <w:rsid w:val="004E7898"/>
    <w:rsid w:val="004F0983"/>
    <w:rsid w:val="004F147B"/>
    <w:rsid w:val="004F166B"/>
    <w:rsid w:val="004F2035"/>
    <w:rsid w:val="004F249C"/>
    <w:rsid w:val="004F3357"/>
    <w:rsid w:val="004F494B"/>
    <w:rsid w:val="004F54AC"/>
    <w:rsid w:val="004F6A34"/>
    <w:rsid w:val="004F7585"/>
    <w:rsid w:val="005011F0"/>
    <w:rsid w:val="0050262A"/>
    <w:rsid w:val="0050303D"/>
    <w:rsid w:val="00504708"/>
    <w:rsid w:val="00504826"/>
    <w:rsid w:val="0051008D"/>
    <w:rsid w:val="005158DD"/>
    <w:rsid w:val="0051715F"/>
    <w:rsid w:val="00525F62"/>
    <w:rsid w:val="005269E4"/>
    <w:rsid w:val="0052777A"/>
    <w:rsid w:val="00530403"/>
    <w:rsid w:val="0053041C"/>
    <w:rsid w:val="00531F64"/>
    <w:rsid w:val="00542434"/>
    <w:rsid w:val="00542436"/>
    <w:rsid w:val="00543B3E"/>
    <w:rsid w:val="00544689"/>
    <w:rsid w:val="005446D5"/>
    <w:rsid w:val="00550E11"/>
    <w:rsid w:val="0055490F"/>
    <w:rsid w:val="00556788"/>
    <w:rsid w:val="005610B0"/>
    <w:rsid w:val="00567B91"/>
    <w:rsid w:val="005711F1"/>
    <w:rsid w:val="0057162F"/>
    <w:rsid w:val="0057261E"/>
    <w:rsid w:val="00574228"/>
    <w:rsid w:val="00574E86"/>
    <w:rsid w:val="00576044"/>
    <w:rsid w:val="005763DE"/>
    <w:rsid w:val="00584108"/>
    <w:rsid w:val="00584941"/>
    <w:rsid w:val="00587D0B"/>
    <w:rsid w:val="00593DFD"/>
    <w:rsid w:val="00594FFC"/>
    <w:rsid w:val="00596F39"/>
    <w:rsid w:val="005A09C6"/>
    <w:rsid w:val="005A0BB7"/>
    <w:rsid w:val="005A210B"/>
    <w:rsid w:val="005A3374"/>
    <w:rsid w:val="005B0635"/>
    <w:rsid w:val="005B070A"/>
    <w:rsid w:val="005B21BB"/>
    <w:rsid w:val="005B2986"/>
    <w:rsid w:val="005B4FC5"/>
    <w:rsid w:val="005B64A2"/>
    <w:rsid w:val="005B692C"/>
    <w:rsid w:val="005C0550"/>
    <w:rsid w:val="005C128B"/>
    <w:rsid w:val="005C1D04"/>
    <w:rsid w:val="005C1DB8"/>
    <w:rsid w:val="005C2CE3"/>
    <w:rsid w:val="005C78BF"/>
    <w:rsid w:val="005D1B3E"/>
    <w:rsid w:val="005E04A5"/>
    <w:rsid w:val="005E09D4"/>
    <w:rsid w:val="005E1A0D"/>
    <w:rsid w:val="005E3596"/>
    <w:rsid w:val="005E40D3"/>
    <w:rsid w:val="005E7D8D"/>
    <w:rsid w:val="005F0DAB"/>
    <w:rsid w:val="005F2AF7"/>
    <w:rsid w:val="005F5D94"/>
    <w:rsid w:val="00600713"/>
    <w:rsid w:val="00603ACA"/>
    <w:rsid w:val="00604BF1"/>
    <w:rsid w:val="00604F6A"/>
    <w:rsid w:val="006075A2"/>
    <w:rsid w:val="00607BE8"/>
    <w:rsid w:val="00610DD1"/>
    <w:rsid w:val="00611B60"/>
    <w:rsid w:val="006151C4"/>
    <w:rsid w:val="006212BA"/>
    <w:rsid w:val="006214BC"/>
    <w:rsid w:val="0062304A"/>
    <w:rsid w:val="00623D35"/>
    <w:rsid w:val="00626AA0"/>
    <w:rsid w:val="006314BF"/>
    <w:rsid w:val="00631DC5"/>
    <w:rsid w:val="00632492"/>
    <w:rsid w:val="00632D23"/>
    <w:rsid w:val="00633FC4"/>
    <w:rsid w:val="0063473A"/>
    <w:rsid w:val="00642593"/>
    <w:rsid w:val="00643C2A"/>
    <w:rsid w:val="006504A1"/>
    <w:rsid w:val="0065665A"/>
    <w:rsid w:val="00662699"/>
    <w:rsid w:val="006645A7"/>
    <w:rsid w:val="0066610A"/>
    <w:rsid w:val="00671D62"/>
    <w:rsid w:val="006729D1"/>
    <w:rsid w:val="00673C81"/>
    <w:rsid w:val="00680E71"/>
    <w:rsid w:val="00682E04"/>
    <w:rsid w:val="00693C3E"/>
    <w:rsid w:val="006A06B1"/>
    <w:rsid w:val="006A1DBD"/>
    <w:rsid w:val="006A3110"/>
    <w:rsid w:val="006A354B"/>
    <w:rsid w:val="006A5506"/>
    <w:rsid w:val="006A5887"/>
    <w:rsid w:val="006B0608"/>
    <w:rsid w:val="006B4B1D"/>
    <w:rsid w:val="006B4E10"/>
    <w:rsid w:val="006B60BE"/>
    <w:rsid w:val="006C15F1"/>
    <w:rsid w:val="006C27F6"/>
    <w:rsid w:val="006C2A89"/>
    <w:rsid w:val="006C2EFA"/>
    <w:rsid w:val="006C40B9"/>
    <w:rsid w:val="006C71D8"/>
    <w:rsid w:val="006C729D"/>
    <w:rsid w:val="006D26A2"/>
    <w:rsid w:val="006D2FA4"/>
    <w:rsid w:val="006D4AF9"/>
    <w:rsid w:val="006E1652"/>
    <w:rsid w:val="006E2810"/>
    <w:rsid w:val="006E2E6D"/>
    <w:rsid w:val="006E5190"/>
    <w:rsid w:val="006E5815"/>
    <w:rsid w:val="006F2095"/>
    <w:rsid w:val="006F5730"/>
    <w:rsid w:val="006F7DBB"/>
    <w:rsid w:val="0070056F"/>
    <w:rsid w:val="00704D14"/>
    <w:rsid w:val="0071026D"/>
    <w:rsid w:val="00712AA3"/>
    <w:rsid w:val="00714C91"/>
    <w:rsid w:val="007206BB"/>
    <w:rsid w:val="007224D0"/>
    <w:rsid w:val="00722696"/>
    <w:rsid w:val="00724F82"/>
    <w:rsid w:val="007328D1"/>
    <w:rsid w:val="007413A1"/>
    <w:rsid w:val="00746501"/>
    <w:rsid w:val="00747081"/>
    <w:rsid w:val="00750F7F"/>
    <w:rsid w:val="00751190"/>
    <w:rsid w:val="007511CE"/>
    <w:rsid w:val="00751FEB"/>
    <w:rsid w:val="00753F15"/>
    <w:rsid w:val="00756BE4"/>
    <w:rsid w:val="007570EF"/>
    <w:rsid w:val="00761970"/>
    <w:rsid w:val="0076275D"/>
    <w:rsid w:val="00762AC5"/>
    <w:rsid w:val="00763617"/>
    <w:rsid w:val="00765819"/>
    <w:rsid w:val="00767299"/>
    <w:rsid w:val="00770216"/>
    <w:rsid w:val="00770EA8"/>
    <w:rsid w:val="00770EF4"/>
    <w:rsid w:val="00774192"/>
    <w:rsid w:val="0077444B"/>
    <w:rsid w:val="0077700B"/>
    <w:rsid w:val="00781593"/>
    <w:rsid w:val="00781810"/>
    <w:rsid w:val="0078382A"/>
    <w:rsid w:val="00783FE4"/>
    <w:rsid w:val="00785967"/>
    <w:rsid w:val="00787762"/>
    <w:rsid w:val="0079059F"/>
    <w:rsid w:val="00790D15"/>
    <w:rsid w:val="00792F37"/>
    <w:rsid w:val="00794F87"/>
    <w:rsid w:val="00796C25"/>
    <w:rsid w:val="007A10C3"/>
    <w:rsid w:val="007A6494"/>
    <w:rsid w:val="007A6BB3"/>
    <w:rsid w:val="007B4095"/>
    <w:rsid w:val="007B6557"/>
    <w:rsid w:val="007C29A3"/>
    <w:rsid w:val="007C31F0"/>
    <w:rsid w:val="007C58A4"/>
    <w:rsid w:val="007C61B8"/>
    <w:rsid w:val="007C6EF1"/>
    <w:rsid w:val="007C7698"/>
    <w:rsid w:val="007D55B2"/>
    <w:rsid w:val="007E5F6A"/>
    <w:rsid w:val="007E66D7"/>
    <w:rsid w:val="007E687B"/>
    <w:rsid w:val="007E7532"/>
    <w:rsid w:val="007F0186"/>
    <w:rsid w:val="007F0BB0"/>
    <w:rsid w:val="007F3906"/>
    <w:rsid w:val="007F3DAF"/>
    <w:rsid w:val="007F6CCA"/>
    <w:rsid w:val="00800216"/>
    <w:rsid w:val="00800988"/>
    <w:rsid w:val="00800C3A"/>
    <w:rsid w:val="00801BEE"/>
    <w:rsid w:val="00801C2E"/>
    <w:rsid w:val="00803298"/>
    <w:rsid w:val="00813256"/>
    <w:rsid w:val="00814216"/>
    <w:rsid w:val="00815897"/>
    <w:rsid w:val="00815C85"/>
    <w:rsid w:val="008171D6"/>
    <w:rsid w:val="00817A6F"/>
    <w:rsid w:val="00823D08"/>
    <w:rsid w:val="00824C95"/>
    <w:rsid w:val="00824D42"/>
    <w:rsid w:val="00824DDD"/>
    <w:rsid w:val="00824E83"/>
    <w:rsid w:val="00831720"/>
    <w:rsid w:val="00831E48"/>
    <w:rsid w:val="00841A05"/>
    <w:rsid w:val="00847CE0"/>
    <w:rsid w:val="00851EA2"/>
    <w:rsid w:val="0085224D"/>
    <w:rsid w:val="008525FC"/>
    <w:rsid w:val="00853085"/>
    <w:rsid w:val="008533BE"/>
    <w:rsid w:val="00855224"/>
    <w:rsid w:val="0085607B"/>
    <w:rsid w:val="00856778"/>
    <w:rsid w:val="00860CBD"/>
    <w:rsid w:val="00863D7A"/>
    <w:rsid w:val="008640EB"/>
    <w:rsid w:val="008645E7"/>
    <w:rsid w:val="008712F3"/>
    <w:rsid w:val="0087201F"/>
    <w:rsid w:val="0087649E"/>
    <w:rsid w:val="008804D3"/>
    <w:rsid w:val="00880559"/>
    <w:rsid w:val="008816D8"/>
    <w:rsid w:val="008825E1"/>
    <w:rsid w:val="0088580A"/>
    <w:rsid w:val="00887082"/>
    <w:rsid w:val="0088737E"/>
    <w:rsid w:val="0089351E"/>
    <w:rsid w:val="00895F7A"/>
    <w:rsid w:val="00897654"/>
    <w:rsid w:val="00897CD9"/>
    <w:rsid w:val="008A374B"/>
    <w:rsid w:val="008A38B5"/>
    <w:rsid w:val="008A3D07"/>
    <w:rsid w:val="008A41C2"/>
    <w:rsid w:val="008A5B36"/>
    <w:rsid w:val="008A7F4B"/>
    <w:rsid w:val="008B184A"/>
    <w:rsid w:val="008B5C9C"/>
    <w:rsid w:val="008B6701"/>
    <w:rsid w:val="008B671B"/>
    <w:rsid w:val="008B6E67"/>
    <w:rsid w:val="008C1486"/>
    <w:rsid w:val="008C19C4"/>
    <w:rsid w:val="008C3BB8"/>
    <w:rsid w:val="008C4994"/>
    <w:rsid w:val="008D108A"/>
    <w:rsid w:val="008D63F1"/>
    <w:rsid w:val="008E015C"/>
    <w:rsid w:val="008E2838"/>
    <w:rsid w:val="008E5333"/>
    <w:rsid w:val="008E543B"/>
    <w:rsid w:val="008F175D"/>
    <w:rsid w:val="008F507C"/>
    <w:rsid w:val="008F5C70"/>
    <w:rsid w:val="009002F5"/>
    <w:rsid w:val="0090095C"/>
    <w:rsid w:val="009037F0"/>
    <w:rsid w:val="0090440E"/>
    <w:rsid w:val="009077FA"/>
    <w:rsid w:val="009079B6"/>
    <w:rsid w:val="00913F72"/>
    <w:rsid w:val="009152B2"/>
    <w:rsid w:val="0091658B"/>
    <w:rsid w:val="009169CC"/>
    <w:rsid w:val="0091715F"/>
    <w:rsid w:val="00917837"/>
    <w:rsid w:val="0091783E"/>
    <w:rsid w:val="009208E9"/>
    <w:rsid w:val="00921A14"/>
    <w:rsid w:val="00921CDD"/>
    <w:rsid w:val="00921E69"/>
    <w:rsid w:val="009229E1"/>
    <w:rsid w:val="00922A31"/>
    <w:rsid w:val="009266C8"/>
    <w:rsid w:val="0092687E"/>
    <w:rsid w:val="00926A19"/>
    <w:rsid w:val="009317D6"/>
    <w:rsid w:val="009328F1"/>
    <w:rsid w:val="00934412"/>
    <w:rsid w:val="009369E7"/>
    <w:rsid w:val="009417FD"/>
    <w:rsid w:val="0094539C"/>
    <w:rsid w:val="00950AB9"/>
    <w:rsid w:val="00951261"/>
    <w:rsid w:val="00951316"/>
    <w:rsid w:val="0095271E"/>
    <w:rsid w:val="0095644D"/>
    <w:rsid w:val="00963A28"/>
    <w:rsid w:val="00964453"/>
    <w:rsid w:val="009671A8"/>
    <w:rsid w:val="009720A1"/>
    <w:rsid w:val="0097584F"/>
    <w:rsid w:val="00977F09"/>
    <w:rsid w:val="00980281"/>
    <w:rsid w:val="009825C8"/>
    <w:rsid w:val="00990A12"/>
    <w:rsid w:val="00990C3C"/>
    <w:rsid w:val="00992DF2"/>
    <w:rsid w:val="0099355B"/>
    <w:rsid w:val="00995047"/>
    <w:rsid w:val="009951E0"/>
    <w:rsid w:val="00997B9C"/>
    <w:rsid w:val="009A0104"/>
    <w:rsid w:val="009A1D23"/>
    <w:rsid w:val="009A27FC"/>
    <w:rsid w:val="009A3DEC"/>
    <w:rsid w:val="009A51ED"/>
    <w:rsid w:val="009B0A7C"/>
    <w:rsid w:val="009B2AAD"/>
    <w:rsid w:val="009B3165"/>
    <w:rsid w:val="009B3DF0"/>
    <w:rsid w:val="009B4009"/>
    <w:rsid w:val="009C4FEF"/>
    <w:rsid w:val="009D174B"/>
    <w:rsid w:val="009D5A57"/>
    <w:rsid w:val="009D6874"/>
    <w:rsid w:val="009D7288"/>
    <w:rsid w:val="009E04CD"/>
    <w:rsid w:val="009E1D4A"/>
    <w:rsid w:val="009E4F2A"/>
    <w:rsid w:val="009F0985"/>
    <w:rsid w:val="009F12C6"/>
    <w:rsid w:val="009F2B97"/>
    <w:rsid w:val="00A10251"/>
    <w:rsid w:val="00A14DDF"/>
    <w:rsid w:val="00A16B03"/>
    <w:rsid w:val="00A17211"/>
    <w:rsid w:val="00A207AA"/>
    <w:rsid w:val="00A216AF"/>
    <w:rsid w:val="00A238ED"/>
    <w:rsid w:val="00A2490E"/>
    <w:rsid w:val="00A27708"/>
    <w:rsid w:val="00A300A1"/>
    <w:rsid w:val="00A3065D"/>
    <w:rsid w:val="00A33C95"/>
    <w:rsid w:val="00A404FF"/>
    <w:rsid w:val="00A41AE5"/>
    <w:rsid w:val="00A44D35"/>
    <w:rsid w:val="00A4556B"/>
    <w:rsid w:val="00A47FA4"/>
    <w:rsid w:val="00A509C2"/>
    <w:rsid w:val="00A51926"/>
    <w:rsid w:val="00A52B9F"/>
    <w:rsid w:val="00A539A3"/>
    <w:rsid w:val="00A53D30"/>
    <w:rsid w:val="00A62CFC"/>
    <w:rsid w:val="00A6326A"/>
    <w:rsid w:val="00A646DF"/>
    <w:rsid w:val="00A6479E"/>
    <w:rsid w:val="00A65456"/>
    <w:rsid w:val="00A71856"/>
    <w:rsid w:val="00A72F80"/>
    <w:rsid w:val="00A731BE"/>
    <w:rsid w:val="00A7349D"/>
    <w:rsid w:val="00A76A62"/>
    <w:rsid w:val="00A775C9"/>
    <w:rsid w:val="00A805E7"/>
    <w:rsid w:val="00A8632A"/>
    <w:rsid w:val="00A87296"/>
    <w:rsid w:val="00A8781D"/>
    <w:rsid w:val="00A9181A"/>
    <w:rsid w:val="00A94579"/>
    <w:rsid w:val="00A95E57"/>
    <w:rsid w:val="00A97FF7"/>
    <w:rsid w:val="00AA4E40"/>
    <w:rsid w:val="00AA7880"/>
    <w:rsid w:val="00AA7CD1"/>
    <w:rsid w:val="00AB0B81"/>
    <w:rsid w:val="00AB168A"/>
    <w:rsid w:val="00AB1D4C"/>
    <w:rsid w:val="00AB476A"/>
    <w:rsid w:val="00AB526D"/>
    <w:rsid w:val="00AB7839"/>
    <w:rsid w:val="00AC011B"/>
    <w:rsid w:val="00AC0B13"/>
    <w:rsid w:val="00AC4493"/>
    <w:rsid w:val="00AC7A62"/>
    <w:rsid w:val="00AD639B"/>
    <w:rsid w:val="00AE2011"/>
    <w:rsid w:val="00AF7106"/>
    <w:rsid w:val="00B00065"/>
    <w:rsid w:val="00B01DCF"/>
    <w:rsid w:val="00B02256"/>
    <w:rsid w:val="00B05AEE"/>
    <w:rsid w:val="00B060A0"/>
    <w:rsid w:val="00B074D1"/>
    <w:rsid w:val="00B07686"/>
    <w:rsid w:val="00B12F4B"/>
    <w:rsid w:val="00B13A29"/>
    <w:rsid w:val="00B16743"/>
    <w:rsid w:val="00B17EA8"/>
    <w:rsid w:val="00B20279"/>
    <w:rsid w:val="00B22196"/>
    <w:rsid w:val="00B27CE6"/>
    <w:rsid w:val="00B3083C"/>
    <w:rsid w:val="00B33343"/>
    <w:rsid w:val="00B347FD"/>
    <w:rsid w:val="00B36F31"/>
    <w:rsid w:val="00B405DA"/>
    <w:rsid w:val="00B40E6E"/>
    <w:rsid w:val="00B418D0"/>
    <w:rsid w:val="00B41AB1"/>
    <w:rsid w:val="00B462EE"/>
    <w:rsid w:val="00B4634C"/>
    <w:rsid w:val="00B52219"/>
    <w:rsid w:val="00B5228C"/>
    <w:rsid w:val="00B53100"/>
    <w:rsid w:val="00B566BD"/>
    <w:rsid w:val="00B6005A"/>
    <w:rsid w:val="00B6187D"/>
    <w:rsid w:val="00B6342B"/>
    <w:rsid w:val="00B706A2"/>
    <w:rsid w:val="00B716DE"/>
    <w:rsid w:val="00B71CD5"/>
    <w:rsid w:val="00B75208"/>
    <w:rsid w:val="00B75B6D"/>
    <w:rsid w:val="00B766B3"/>
    <w:rsid w:val="00B76BE4"/>
    <w:rsid w:val="00B80E7D"/>
    <w:rsid w:val="00B831A4"/>
    <w:rsid w:val="00B83239"/>
    <w:rsid w:val="00B84988"/>
    <w:rsid w:val="00B850D7"/>
    <w:rsid w:val="00B875B4"/>
    <w:rsid w:val="00B876D0"/>
    <w:rsid w:val="00B9012A"/>
    <w:rsid w:val="00B92FE5"/>
    <w:rsid w:val="00B93555"/>
    <w:rsid w:val="00B93B4D"/>
    <w:rsid w:val="00B95A80"/>
    <w:rsid w:val="00B9707E"/>
    <w:rsid w:val="00BA2995"/>
    <w:rsid w:val="00BA45F2"/>
    <w:rsid w:val="00BB24ED"/>
    <w:rsid w:val="00BB46F1"/>
    <w:rsid w:val="00BB7615"/>
    <w:rsid w:val="00BC0A28"/>
    <w:rsid w:val="00BC5510"/>
    <w:rsid w:val="00BC61DC"/>
    <w:rsid w:val="00BD01A8"/>
    <w:rsid w:val="00BD09FB"/>
    <w:rsid w:val="00BD0D07"/>
    <w:rsid w:val="00BD0FAE"/>
    <w:rsid w:val="00BD276E"/>
    <w:rsid w:val="00BD3548"/>
    <w:rsid w:val="00BD5709"/>
    <w:rsid w:val="00BE237F"/>
    <w:rsid w:val="00BE29B9"/>
    <w:rsid w:val="00BE3BE4"/>
    <w:rsid w:val="00BE780C"/>
    <w:rsid w:val="00BF4CC9"/>
    <w:rsid w:val="00BF5857"/>
    <w:rsid w:val="00BF5A17"/>
    <w:rsid w:val="00BF6F8C"/>
    <w:rsid w:val="00BF75D9"/>
    <w:rsid w:val="00C00999"/>
    <w:rsid w:val="00C03520"/>
    <w:rsid w:val="00C046D1"/>
    <w:rsid w:val="00C04724"/>
    <w:rsid w:val="00C04E2C"/>
    <w:rsid w:val="00C06F44"/>
    <w:rsid w:val="00C1156C"/>
    <w:rsid w:val="00C12274"/>
    <w:rsid w:val="00C16F18"/>
    <w:rsid w:val="00C17DB6"/>
    <w:rsid w:val="00C20674"/>
    <w:rsid w:val="00C31E4B"/>
    <w:rsid w:val="00C3260E"/>
    <w:rsid w:val="00C3539F"/>
    <w:rsid w:val="00C40F59"/>
    <w:rsid w:val="00C4439C"/>
    <w:rsid w:val="00C512D8"/>
    <w:rsid w:val="00C610C6"/>
    <w:rsid w:val="00C635E3"/>
    <w:rsid w:val="00C64034"/>
    <w:rsid w:val="00C708CF"/>
    <w:rsid w:val="00C73DD0"/>
    <w:rsid w:val="00C75A5F"/>
    <w:rsid w:val="00C83147"/>
    <w:rsid w:val="00C831B3"/>
    <w:rsid w:val="00C836C2"/>
    <w:rsid w:val="00C83D2A"/>
    <w:rsid w:val="00C96F8F"/>
    <w:rsid w:val="00C97C30"/>
    <w:rsid w:val="00CA1F35"/>
    <w:rsid w:val="00CA371F"/>
    <w:rsid w:val="00CA5672"/>
    <w:rsid w:val="00CA65BA"/>
    <w:rsid w:val="00CA739A"/>
    <w:rsid w:val="00CB103C"/>
    <w:rsid w:val="00CC3509"/>
    <w:rsid w:val="00CD42D1"/>
    <w:rsid w:val="00CD79F5"/>
    <w:rsid w:val="00CF008E"/>
    <w:rsid w:val="00CF4489"/>
    <w:rsid w:val="00D00951"/>
    <w:rsid w:val="00D00F5E"/>
    <w:rsid w:val="00D01651"/>
    <w:rsid w:val="00D02FB8"/>
    <w:rsid w:val="00D0386F"/>
    <w:rsid w:val="00D07C11"/>
    <w:rsid w:val="00D13956"/>
    <w:rsid w:val="00D1578F"/>
    <w:rsid w:val="00D15F30"/>
    <w:rsid w:val="00D17604"/>
    <w:rsid w:val="00D17D37"/>
    <w:rsid w:val="00D24E58"/>
    <w:rsid w:val="00D30007"/>
    <w:rsid w:val="00D34147"/>
    <w:rsid w:val="00D43817"/>
    <w:rsid w:val="00D462BF"/>
    <w:rsid w:val="00D4693A"/>
    <w:rsid w:val="00D5046E"/>
    <w:rsid w:val="00D53039"/>
    <w:rsid w:val="00D542B8"/>
    <w:rsid w:val="00D55F82"/>
    <w:rsid w:val="00D631F6"/>
    <w:rsid w:val="00D64043"/>
    <w:rsid w:val="00D66C81"/>
    <w:rsid w:val="00D677E2"/>
    <w:rsid w:val="00D67F08"/>
    <w:rsid w:val="00D706EC"/>
    <w:rsid w:val="00D7080A"/>
    <w:rsid w:val="00D71BDD"/>
    <w:rsid w:val="00D739C8"/>
    <w:rsid w:val="00D7506E"/>
    <w:rsid w:val="00D7758E"/>
    <w:rsid w:val="00D80044"/>
    <w:rsid w:val="00D8172C"/>
    <w:rsid w:val="00D81F6E"/>
    <w:rsid w:val="00D8777C"/>
    <w:rsid w:val="00D91995"/>
    <w:rsid w:val="00D93F69"/>
    <w:rsid w:val="00D9418F"/>
    <w:rsid w:val="00D95A06"/>
    <w:rsid w:val="00DA0476"/>
    <w:rsid w:val="00DB2871"/>
    <w:rsid w:val="00DB6694"/>
    <w:rsid w:val="00DC500D"/>
    <w:rsid w:val="00DC701C"/>
    <w:rsid w:val="00DC7400"/>
    <w:rsid w:val="00DD0800"/>
    <w:rsid w:val="00DD189F"/>
    <w:rsid w:val="00DD34B6"/>
    <w:rsid w:val="00DD390F"/>
    <w:rsid w:val="00DD5408"/>
    <w:rsid w:val="00DE2160"/>
    <w:rsid w:val="00DE27BB"/>
    <w:rsid w:val="00DE2F4A"/>
    <w:rsid w:val="00DE4127"/>
    <w:rsid w:val="00DE4642"/>
    <w:rsid w:val="00DE6BF7"/>
    <w:rsid w:val="00DE7070"/>
    <w:rsid w:val="00DF2BCD"/>
    <w:rsid w:val="00DF5DC4"/>
    <w:rsid w:val="00DF7A09"/>
    <w:rsid w:val="00DF7F80"/>
    <w:rsid w:val="00E01BC6"/>
    <w:rsid w:val="00E03882"/>
    <w:rsid w:val="00E04DE6"/>
    <w:rsid w:val="00E051D9"/>
    <w:rsid w:val="00E0689E"/>
    <w:rsid w:val="00E06F99"/>
    <w:rsid w:val="00E07119"/>
    <w:rsid w:val="00E11D42"/>
    <w:rsid w:val="00E13059"/>
    <w:rsid w:val="00E143A7"/>
    <w:rsid w:val="00E14BDF"/>
    <w:rsid w:val="00E24AFF"/>
    <w:rsid w:val="00E271BC"/>
    <w:rsid w:val="00E27807"/>
    <w:rsid w:val="00E333D3"/>
    <w:rsid w:val="00E34489"/>
    <w:rsid w:val="00E3650B"/>
    <w:rsid w:val="00E36596"/>
    <w:rsid w:val="00E36AFF"/>
    <w:rsid w:val="00E36DAD"/>
    <w:rsid w:val="00E404A4"/>
    <w:rsid w:val="00E41509"/>
    <w:rsid w:val="00E469AC"/>
    <w:rsid w:val="00E46F8F"/>
    <w:rsid w:val="00E5417A"/>
    <w:rsid w:val="00E568C1"/>
    <w:rsid w:val="00E56F11"/>
    <w:rsid w:val="00E63561"/>
    <w:rsid w:val="00E6407E"/>
    <w:rsid w:val="00E66A74"/>
    <w:rsid w:val="00E77BAE"/>
    <w:rsid w:val="00E8268F"/>
    <w:rsid w:val="00E8529B"/>
    <w:rsid w:val="00E86F7C"/>
    <w:rsid w:val="00E907DC"/>
    <w:rsid w:val="00E94847"/>
    <w:rsid w:val="00E97F5B"/>
    <w:rsid w:val="00EB201B"/>
    <w:rsid w:val="00EB4BD6"/>
    <w:rsid w:val="00EB57C8"/>
    <w:rsid w:val="00EB6481"/>
    <w:rsid w:val="00EB72B6"/>
    <w:rsid w:val="00EC0550"/>
    <w:rsid w:val="00EC2097"/>
    <w:rsid w:val="00EC492C"/>
    <w:rsid w:val="00EC618B"/>
    <w:rsid w:val="00EC6CEF"/>
    <w:rsid w:val="00ED18AB"/>
    <w:rsid w:val="00ED18F5"/>
    <w:rsid w:val="00ED2D38"/>
    <w:rsid w:val="00ED36DD"/>
    <w:rsid w:val="00ED3F47"/>
    <w:rsid w:val="00ED6802"/>
    <w:rsid w:val="00ED6C26"/>
    <w:rsid w:val="00EE0F60"/>
    <w:rsid w:val="00EE18CE"/>
    <w:rsid w:val="00EE2DB8"/>
    <w:rsid w:val="00EE561D"/>
    <w:rsid w:val="00EE7B88"/>
    <w:rsid w:val="00EF10CE"/>
    <w:rsid w:val="00EF169D"/>
    <w:rsid w:val="00EF1B26"/>
    <w:rsid w:val="00EF29CF"/>
    <w:rsid w:val="00EF3A36"/>
    <w:rsid w:val="00EF401F"/>
    <w:rsid w:val="00EF4C2F"/>
    <w:rsid w:val="00EF5BF6"/>
    <w:rsid w:val="00F21EBE"/>
    <w:rsid w:val="00F23C25"/>
    <w:rsid w:val="00F324E3"/>
    <w:rsid w:val="00F3776A"/>
    <w:rsid w:val="00F4152E"/>
    <w:rsid w:val="00F4191F"/>
    <w:rsid w:val="00F44DCC"/>
    <w:rsid w:val="00F4524B"/>
    <w:rsid w:val="00F52A7A"/>
    <w:rsid w:val="00F54F47"/>
    <w:rsid w:val="00F561D4"/>
    <w:rsid w:val="00F573C2"/>
    <w:rsid w:val="00F600E1"/>
    <w:rsid w:val="00F60E54"/>
    <w:rsid w:val="00F62758"/>
    <w:rsid w:val="00F67D36"/>
    <w:rsid w:val="00F704DA"/>
    <w:rsid w:val="00F70F48"/>
    <w:rsid w:val="00F7182D"/>
    <w:rsid w:val="00F735EB"/>
    <w:rsid w:val="00F75383"/>
    <w:rsid w:val="00F82C08"/>
    <w:rsid w:val="00F82F99"/>
    <w:rsid w:val="00F87B02"/>
    <w:rsid w:val="00F94370"/>
    <w:rsid w:val="00F97B0E"/>
    <w:rsid w:val="00FA2B2A"/>
    <w:rsid w:val="00FA3004"/>
    <w:rsid w:val="00FA391E"/>
    <w:rsid w:val="00FA4A90"/>
    <w:rsid w:val="00FB1A2C"/>
    <w:rsid w:val="00FB1C41"/>
    <w:rsid w:val="00FB5114"/>
    <w:rsid w:val="00FC2CBD"/>
    <w:rsid w:val="00FC646C"/>
    <w:rsid w:val="00FD03BD"/>
    <w:rsid w:val="00FD3642"/>
    <w:rsid w:val="00FE113C"/>
    <w:rsid w:val="00FE14B8"/>
    <w:rsid w:val="00FE2E3F"/>
    <w:rsid w:val="00FE4965"/>
    <w:rsid w:val="00FE534B"/>
    <w:rsid w:val="00FE68F4"/>
    <w:rsid w:val="00FE6ABD"/>
    <w:rsid w:val="00FF08B0"/>
    <w:rsid w:val="00FF0E53"/>
    <w:rsid w:val="00FF4358"/>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A50074B"/>
  <w15:docId w15:val="{E2159129-2076-48BE-9A9F-E9A2C1D881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lang w:val="fr-FR"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6005A"/>
    <w:pPr>
      <w:spacing w:after="120"/>
      <w:jc w:val="both"/>
    </w:pPr>
    <w:rPr>
      <w:rFonts w:asciiTheme="minorHAnsi" w:eastAsia="Times New Roman" w:hAnsiTheme="minorHAnsi"/>
      <w:sz w:val="24"/>
      <w:szCs w:val="24"/>
      <w:lang w:val="en-GB" w:eastAsia="fr-FR"/>
    </w:rPr>
  </w:style>
  <w:style w:type="paragraph" w:styleId="Heading1">
    <w:name w:val="heading 1"/>
    <w:basedOn w:val="Courant"/>
    <w:next w:val="Normal"/>
    <w:link w:val="Heading1Char"/>
    <w:qFormat/>
    <w:rsid w:val="00751190"/>
    <w:pPr>
      <w:keepNext/>
      <w:keepLines/>
      <w:widowControl/>
      <w:numPr>
        <w:numId w:val="2"/>
      </w:numPr>
      <w:pBdr>
        <w:bottom w:val="single" w:sz="4" w:space="1" w:color="auto"/>
      </w:pBdr>
      <w:shd w:val="clear" w:color="auto" w:fill="CDCDCF"/>
      <w:spacing w:before="320" w:after="320"/>
      <w:outlineLvl w:val="0"/>
    </w:pPr>
    <w:rPr>
      <w:rFonts w:ascii="Trebuchet MS" w:hAnsi="Trebuchet MS"/>
      <w:b/>
      <w:bCs/>
      <w:color w:val="000000"/>
      <w:szCs w:val="32"/>
      <w:lang w:val="en-GB"/>
    </w:rPr>
  </w:style>
  <w:style w:type="paragraph" w:styleId="Heading2">
    <w:name w:val="heading 2"/>
    <w:basedOn w:val="Heading1"/>
    <w:next w:val="Normal"/>
    <w:link w:val="Heading2Char"/>
    <w:qFormat/>
    <w:rsid w:val="00751190"/>
    <w:pPr>
      <w:numPr>
        <w:ilvl w:val="1"/>
      </w:numPr>
      <w:pBdr>
        <w:bottom w:val="single" w:sz="4" w:space="1" w:color="000000" w:themeColor="text1"/>
      </w:pBdr>
      <w:shd w:val="clear" w:color="auto" w:fill="auto"/>
      <w:ind w:left="0"/>
      <w:outlineLvl w:val="1"/>
    </w:pPr>
    <w:rPr>
      <w:szCs w:val="24"/>
    </w:rPr>
  </w:style>
  <w:style w:type="paragraph" w:styleId="Heading3">
    <w:name w:val="heading 3"/>
    <w:basedOn w:val="Heading2"/>
    <w:next w:val="Normal"/>
    <w:link w:val="Heading3Char"/>
    <w:qFormat/>
    <w:rsid w:val="00492BD5"/>
    <w:pPr>
      <w:numPr>
        <w:ilvl w:val="2"/>
      </w:numPr>
      <w:pBdr>
        <w:bottom w:val="none" w:sz="0" w:space="0" w:color="auto"/>
      </w:pBdr>
      <w:outlineLvl w:val="2"/>
    </w:pPr>
    <w:rPr>
      <w:bCs w:val="0"/>
      <w:szCs w:val="28"/>
    </w:rPr>
  </w:style>
  <w:style w:type="paragraph" w:styleId="Heading4">
    <w:name w:val="heading 4"/>
    <w:basedOn w:val="Heading3"/>
    <w:next w:val="Normal"/>
    <w:link w:val="Heading4Char"/>
    <w:qFormat/>
    <w:rsid w:val="00492BD5"/>
    <w:pPr>
      <w:numPr>
        <w:ilvl w:val="3"/>
      </w:numPr>
      <w:outlineLvl w:val="3"/>
    </w:pPr>
    <w:rPr>
      <w:b w:val="0"/>
      <w:szCs w:val="26"/>
    </w:rPr>
  </w:style>
  <w:style w:type="paragraph" w:styleId="Heading5">
    <w:name w:val="heading 5"/>
    <w:basedOn w:val="Heading4"/>
    <w:next w:val="Normal"/>
    <w:link w:val="Heading5Char"/>
    <w:qFormat/>
    <w:rsid w:val="00492BD5"/>
    <w:pPr>
      <w:numPr>
        <w:ilvl w:val="4"/>
      </w:numPr>
      <w:outlineLvl w:val="4"/>
    </w:pPr>
    <w:rPr>
      <w:sz w:val="20"/>
      <w:szCs w:val="24"/>
    </w:rPr>
  </w:style>
  <w:style w:type="paragraph" w:styleId="Heading6">
    <w:name w:val="heading 6"/>
    <w:basedOn w:val="Heading5"/>
    <w:next w:val="Normal"/>
    <w:link w:val="Heading6Char"/>
    <w:qFormat/>
    <w:rsid w:val="00492BD5"/>
    <w:pPr>
      <w:numPr>
        <w:ilvl w:val="5"/>
      </w:numPr>
      <w:outlineLvl w:val="5"/>
    </w:pPr>
    <w:rPr>
      <w:i/>
      <w:iCs/>
      <w:szCs w:val="22"/>
    </w:rPr>
  </w:style>
  <w:style w:type="paragraph" w:styleId="Heading7">
    <w:name w:val="heading 7"/>
    <w:basedOn w:val="Normal"/>
    <w:next w:val="Normal"/>
    <w:link w:val="Heading7Char"/>
    <w:qFormat/>
    <w:rsid w:val="00492BD5"/>
    <w:pPr>
      <w:keepNext/>
      <w:keepLines/>
      <w:numPr>
        <w:ilvl w:val="6"/>
        <w:numId w:val="2"/>
      </w:numPr>
      <w:spacing w:before="120"/>
      <w:jc w:val="left"/>
      <w:outlineLvl w:val="6"/>
    </w:pPr>
  </w:style>
  <w:style w:type="paragraph" w:styleId="Heading8">
    <w:name w:val="heading 8"/>
    <w:basedOn w:val="Heading7"/>
    <w:next w:val="Normal"/>
    <w:link w:val="Heading8Char"/>
    <w:qFormat/>
    <w:rsid w:val="00492BD5"/>
    <w:pPr>
      <w:numPr>
        <w:ilvl w:val="7"/>
      </w:numPr>
      <w:outlineLvl w:val="7"/>
    </w:pPr>
  </w:style>
  <w:style w:type="paragraph" w:styleId="Heading9">
    <w:name w:val="heading 9"/>
    <w:basedOn w:val="TOC8"/>
    <w:next w:val="Normal"/>
    <w:link w:val="Heading9Char"/>
    <w:qFormat/>
    <w:rsid w:val="00492BD5"/>
    <w:pPr>
      <w:numPr>
        <w:ilvl w:val="8"/>
        <w:numId w:val="2"/>
      </w:numPr>
      <w:spacing w:before="12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cronyme">
    <w:name w:val="Acronyme"/>
    <w:basedOn w:val="DefaultParagraphFont"/>
    <w:semiHidden/>
    <w:rsid w:val="00492BD5"/>
    <w:rPr>
      <w:rFonts w:ascii="Times New Roman" w:hAnsi="Times New Roman"/>
      <w:b/>
      <w:bCs/>
      <w:color w:val="0000FF"/>
      <w:sz w:val="24"/>
      <w:szCs w:val="24"/>
    </w:rPr>
  </w:style>
  <w:style w:type="paragraph" w:customStyle="1" w:styleId="Courant">
    <w:name w:val="Courant"/>
    <w:next w:val="Normal"/>
    <w:link w:val="CourantCar"/>
    <w:semiHidden/>
    <w:rsid w:val="00492BD5"/>
    <w:pPr>
      <w:widowControl w:val="0"/>
      <w:spacing w:before="240" w:after="120"/>
    </w:pPr>
    <w:rPr>
      <w:rFonts w:ascii="Times" w:eastAsia="Times New Roman" w:hAnsi="Times"/>
      <w:sz w:val="24"/>
      <w:szCs w:val="24"/>
      <w:lang w:eastAsia="fr-FR"/>
    </w:rPr>
  </w:style>
  <w:style w:type="character" w:customStyle="1" w:styleId="Heading1Char">
    <w:name w:val="Heading 1 Char"/>
    <w:basedOn w:val="DefaultParagraphFont"/>
    <w:link w:val="Heading1"/>
    <w:rsid w:val="00751190"/>
    <w:rPr>
      <w:rFonts w:ascii="Trebuchet MS" w:eastAsia="Times New Roman" w:hAnsi="Trebuchet MS"/>
      <w:b/>
      <w:bCs/>
      <w:color w:val="000000"/>
      <w:sz w:val="24"/>
      <w:szCs w:val="32"/>
      <w:shd w:val="clear" w:color="auto" w:fill="CDCDCF"/>
      <w:lang w:val="en-GB" w:eastAsia="fr-FR"/>
    </w:rPr>
  </w:style>
  <w:style w:type="paragraph" w:customStyle="1" w:styleId="Annexe1">
    <w:name w:val="Annexe 1"/>
    <w:basedOn w:val="Heading1"/>
    <w:next w:val="Normal"/>
    <w:rsid w:val="00F561D4"/>
    <w:pPr>
      <w:pageBreakBefore/>
      <w:numPr>
        <w:numId w:val="4"/>
      </w:numPr>
    </w:pPr>
  </w:style>
  <w:style w:type="paragraph" w:customStyle="1" w:styleId="Annexe2">
    <w:name w:val="Annexe 2"/>
    <w:basedOn w:val="Annexe1"/>
    <w:next w:val="Normal"/>
    <w:rsid w:val="008C3BB8"/>
    <w:pPr>
      <w:pageBreakBefore w:val="0"/>
      <w:numPr>
        <w:ilvl w:val="1"/>
      </w:numPr>
      <w:pBdr>
        <w:bottom w:val="single" w:sz="4" w:space="1" w:color="000000" w:themeColor="text1"/>
      </w:pBdr>
      <w:shd w:val="clear" w:color="auto" w:fill="auto"/>
      <w:outlineLvl w:val="1"/>
    </w:pPr>
    <w:rPr>
      <w:color w:val="000000" w:themeColor="text1"/>
    </w:rPr>
  </w:style>
  <w:style w:type="character" w:styleId="EndnoteReference">
    <w:name w:val="endnote reference"/>
    <w:basedOn w:val="DefaultParagraphFont"/>
    <w:semiHidden/>
    <w:rsid w:val="00492BD5"/>
    <w:rPr>
      <w:vertAlign w:val="superscript"/>
    </w:rPr>
  </w:style>
  <w:style w:type="character" w:customStyle="1" w:styleId="AX">
    <w:name w:val="AX"/>
    <w:rsid w:val="00751190"/>
    <w:rPr>
      <w:color w:val="FF0000"/>
      <w:lang w:val="en-GB"/>
    </w:rPr>
  </w:style>
  <w:style w:type="paragraph" w:styleId="CommentText">
    <w:name w:val="annotation text"/>
    <w:basedOn w:val="Normal"/>
    <w:link w:val="CommentTextChar"/>
    <w:rsid w:val="00492BD5"/>
    <w:pPr>
      <w:keepLines/>
    </w:pPr>
    <w:rPr>
      <w:i/>
      <w:iCs/>
    </w:rPr>
  </w:style>
  <w:style w:type="character" w:customStyle="1" w:styleId="CommentTextChar">
    <w:name w:val="Comment Text Char"/>
    <w:basedOn w:val="DefaultParagraphFont"/>
    <w:link w:val="CommentText"/>
    <w:rsid w:val="00492BD5"/>
    <w:rPr>
      <w:rFonts w:ascii="Trebuchet MS" w:eastAsia="Times New Roman" w:hAnsi="Trebuchet MS"/>
      <w:i/>
      <w:iCs/>
      <w:szCs w:val="24"/>
      <w:lang w:eastAsia="fr-FR"/>
    </w:rPr>
  </w:style>
  <w:style w:type="paragraph" w:styleId="BodyText">
    <w:name w:val="Body Text"/>
    <w:basedOn w:val="Normal"/>
    <w:link w:val="BodyTextChar"/>
    <w:qFormat/>
    <w:rsid w:val="00492BD5"/>
    <w:pPr>
      <w:widowControl w:val="0"/>
      <w:ind w:right="1268"/>
    </w:pPr>
  </w:style>
  <w:style w:type="character" w:customStyle="1" w:styleId="BodyTextChar">
    <w:name w:val="Body Text Char"/>
    <w:basedOn w:val="DefaultParagraphFont"/>
    <w:link w:val="BodyText"/>
    <w:rsid w:val="00492BD5"/>
    <w:rPr>
      <w:rFonts w:ascii="Trebuchet MS" w:eastAsia="Times New Roman" w:hAnsi="Trebuchet MS"/>
      <w:szCs w:val="24"/>
      <w:lang w:eastAsia="fr-FR"/>
    </w:rPr>
  </w:style>
  <w:style w:type="paragraph" w:customStyle="1" w:styleId="DADR">
    <w:name w:val="DADR"/>
    <w:basedOn w:val="Normal"/>
    <w:rsid w:val="00751190"/>
    <w:pPr>
      <w:keepLines/>
      <w:widowControl w:val="0"/>
      <w:tabs>
        <w:tab w:val="left" w:pos="840"/>
        <w:tab w:val="left" w:pos="7626"/>
      </w:tabs>
      <w:spacing w:before="240"/>
      <w:ind w:left="822" w:right="1021" w:hanging="822"/>
      <w:jc w:val="left"/>
    </w:pPr>
    <w:rPr>
      <w:b/>
      <w:bCs/>
    </w:rPr>
  </w:style>
  <w:style w:type="paragraph" w:styleId="Header">
    <w:name w:val="header"/>
    <w:basedOn w:val="Normal"/>
    <w:link w:val="HeaderChar"/>
    <w:rsid w:val="00751190"/>
    <w:pPr>
      <w:tabs>
        <w:tab w:val="center" w:pos="4320"/>
        <w:tab w:val="right" w:pos="8640"/>
      </w:tabs>
      <w:jc w:val="left"/>
    </w:pPr>
    <w:rPr>
      <w:szCs w:val="20"/>
    </w:rPr>
  </w:style>
  <w:style w:type="character" w:customStyle="1" w:styleId="HeaderChar">
    <w:name w:val="Header Char"/>
    <w:basedOn w:val="DefaultParagraphFont"/>
    <w:link w:val="Header"/>
    <w:rsid w:val="00751190"/>
    <w:rPr>
      <w:rFonts w:ascii="Trebuchet MS" w:eastAsia="Times New Roman" w:hAnsi="Trebuchet MS"/>
      <w:lang w:val="en-GB" w:eastAsia="fr-FR"/>
    </w:rPr>
  </w:style>
  <w:style w:type="paragraph" w:styleId="DocumentMap">
    <w:name w:val="Document Map"/>
    <w:basedOn w:val="Normal"/>
    <w:link w:val="DocumentMapChar"/>
    <w:semiHidden/>
    <w:rsid w:val="00492BD5"/>
    <w:pPr>
      <w:shd w:val="clear" w:color="auto" w:fill="000080"/>
    </w:pPr>
    <w:rPr>
      <w:rFonts w:ascii="Tahoma" w:hAnsi="Tahoma" w:cs="Tahoma"/>
    </w:rPr>
  </w:style>
  <w:style w:type="character" w:customStyle="1" w:styleId="DocumentMapChar">
    <w:name w:val="Document Map Char"/>
    <w:basedOn w:val="DefaultParagraphFont"/>
    <w:link w:val="DocumentMap"/>
    <w:semiHidden/>
    <w:rsid w:val="00492BD5"/>
    <w:rPr>
      <w:rFonts w:ascii="Tahoma" w:eastAsia="Times New Roman" w:hAnsi="Tahoma" w:cs="Tahoma"/>
      <w:szCs w:val="24"/>
      <w:shd w:val="clear" w:color="auto" w:fill="000080"/>
      <w:lang w:eastAsia="fr-FR"/>
    </w:rPr>
  </w:style>
  <w:style w:type="paragraph" w:customStyle="1" w:styleId="Figure">
    <w:name w:val="Figure"/>
    <w:basedOn w:val="Normal"/>
    <w:semiHidden/>
    <w:rsid w:val="00492BD5"/>
    <w:pPr>
      <w:keepNext/>
      <w:spacing w:before="480"/>
      <w:jc w:val="center"/>
    </w:pPr>
    <w:rPr>
      <w:rFonts w:ascii="New York" w:hAnsi="New York"/>
      <w:sz w:val="22"/>
      <w:szCs w:val="22"/>
    </w:rPr>
  </w:style>
  <w:style w:type="table" w:styleId="TableGrid">
    <w:name w:val="Table Grid"/>
    <w:basedOn w:val="TableNormal"/>
    <w:uiPriority w:val="59"/>
    <w:rsid w:val="00492BD5"/>
    <w:pPr>
      <w:spacing w:after="120"/>
      <w:jc w:val="both"/>
    </w:pPr>
    <w:rPr>
      <w:rFonts w:eastAsia="Times New Roman"/>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enberschrift">
    <w:name w:val="Tabellenüberschrift"/>
    <w:basedOn w:val="Normal"/>
    <w:semiHidden/>
    <w:rsid w:val="00492BD5"/>
    <w:pPr>
      <w:suppressAutoHyphens/>
      <w:spacing w:before="60" w:after="60" w:line="288" w:lineRule="auto"/>
      <w:jc w:val="left"/>
    </w:pPr>
    <w:rPr>
      <w:rFonts w:ascii="Verdana" w:hAnsi="Verdana"/>
      <w:b/>
      <w:szCs w:val="20"/>
      <w:lang w:val="de-DE" w:eastAsia="en-US" w:bidi="en-US"/>
    </w:rPr>
  </w:style>
  <w:style w:type="paragraph" w:customStyle="1" w:styleId="Tabelleninhalt">
    <w:name w:val="Tabelleninhalt"/>
    <w:basedOn w:val="Tabellenberschrift"/>
    <w:semiHidden/>
    <w:rsid w:val="00492BD5"/>
    <w:pPr>
      <w:spacing w:before="120" w:after="120"/>
    </w:pPr>
    <w:rPr>
      <w:b w:val="0"/>
      <w:color w:val="000000"/>
      <w:sz w:val="18"/>
      <w:lang w:eastAsia="de-DE" w:bidi="de-DE"/>
    </w:rPr>
  </w:style>
  <w:style w:type="paragraph" w:customStyle="1" w:styleId="Historie">
    <w:name w:val="Historie"/>
    <w:basedOn w:val="Tabelleninhalt"/>
    <w:semiHidden/>
    <w:rsid w:val="00492BD5"/>
    <w:pPr>
      <w:spacing w:before="60" w:after="60"/>
      <w:ind w:left="113" w:right="113"/>
    </w:pPr>
  </w:style>
  <w:style w:type="paragraph" w:styleId="Index1">
    <w:name w:val="index 1"/>
    <w:basedOn w:val="Normal"/>
    <w:next w:val="Normal"/>
    <w:semiHidden/>
    <w:rsid w:val="00492BD5"/>
    <w:pPr>
      <w:tabs>
        <w:tab w:val="right" w:pos="3960"/>
      </w:tabs>
      <w:ind w:left="240" w:hanging="240"/>
      <w:jc w:val="left"/>
    </w:pPr>
    <w:rPr>
      <w:szCs w:val="20"/>
    </w:rPr>
  </w:style>
  <w:style w:type="paragraph" w:styleId="Index2">
    <w:name w:val="index 2"/>
    <w:basedOn w:val="Normal"/>
    <w:next w:val="Normal"/>
    <w:semiHidden/>
    <w:rsid w:val="00492BD5"/>
    <w:pPr>
      <w:tabs>
        <w:tab w:val="right" w:pos="3960"/>
      </w:tabs>
      <w:ind w:left="480" w:hanging="240"/>
      <w:jc w:val="left"/>
    </w:pPr>
    <w:rPr>
      <w:szCs w:val="20"/>
    </w:rPr>
  </w:style>
  <w:style w:type="paragraph" w:styleId="Index3">
    <w:name w:val="index 3"/>
    <w:basedOn w:val="Normal"/>
    <w:next w:val="Normal"/>
    <w:semiHidden/>
    <w:rsid w:val="00492BD5"/>
    <w:pPr>
      <w:tabs>
        <w:tab w:val="right" w:pos="3960"/>
      </w:tabs>
      <w:ind w:left="720" w:hanging="240"/>
      <w:jc w:val="left"/>
    </w:pPr>
    <w:rPr>
      <w:szCs w:val="20"/>
    </w:rPr>
  </w:style>
  <w:style w:type="paragraph" w:styleId="Index4">
    <w:name w:val="index 4"/>
    <w:basedOn w:val="Normal"/>
    <w:next w:val="Normal"/>
    <w:semiHidden/>
    <w:rsid w:val="00492BD5"/>
    <w:pPr>
      <w:tabs>
        <w:tab w:val="right" w:pos="3960"/>
      </w:tabs>
      <w:ind w:left="960" w:hanging="240"/>
      <w:jc w:val="left"/>
    </w:pPr>
    <w:rPr>
      <w:szCs w:val="20"/>
    </w:rPr>
  </w:style>
  <w:style w:type="paragraph" w:styleId="Index5">
    <w:name w:val="index 5"/>
    <w:basedOn w:val="Normal"/>
    <w:next w:val="Normal"/>
    <w:semiHidden/>
    <w:rsid w:val="00492BD5"/>
    <w:pPr>
      <w:tabs>
        <w:tab w:val="right" w:pos="3960"/>
      </w:tabs>
      <w:ind w:left="1200" w:hanging="240"/>
      <w:jc w:val="left"/>
    </w:pPr>
    <w:rPr>
      <w:szCs w:val="20"/>
    </w:rPr>
  </w:style>
  <w:style w:type="paragraph" w:styleId="Index6">
    <w:name w:val="index 6"/>
    <w:basedOn w:val="Normal"/>
    <w:next w:val="Normal"/>
    <w:semiHidden/>
    <w:rsid w:val="00492BD5"/>
    <w:pPr>
      <w:tabs>
        <w:tab w:val="right" w:pos="3960"/>
      </w:tabs>
      <w:ind w:left="1440" w:hanging="240"/>
      <w:jc w:val="left"/>
    </w:pPr>
    <w:rPr>
      <w:szCs w:val="20"/>
    </w:rPr>
  </w:style>
  <w:style w:type="paragraph" w:styleId="Index7">
    <w:name w:val="index 7"/>
    <w:basedOn w:val="Normal"/>
    <w:next w:val="Normal"/>
    <w:semiHidden/>
    <w:rsid w:val="00492BD5"/>
    <w:pPr>
      <w:tabs>
        <w:tab w:val="right" w:pos="3960"/>
      </w:tabs>
      <w:ind w:left="1680" w:hanging="240"/>
      <w:jc w:val="left"/>
    </w:pPr>
    <w:rPr>
      <w:szCs w:val="20"/>
    </w:rPr>
  </w:style>
  <w:style w:type="paragraph" w:styleId="Index8">
    <w:name w:val="index 8"/>
    <w:basedOn w:val="Normal"/>
    <w:next w:val="Normal"/>
    <w:semiHidden/>
    <w:rsid w:val="00492BD5"/>
    <w:pPr>
      <w:tabs>
        <w:tab w:val="right" w:pos="3960"/>
      </w:tabs>
      <w:ind w:left="1920" w:hanging="240"/>
      <w:jc w:val="left"/>
    </w:pPr>
    <w:rPr>
      <w:szCs w:val="20"/>
    </w:rPr>
  </w:style>
  <w:style w:type="paragraph" w:styleId="Index9">
    <w:name w:val="index 9"/>
    <w:basedOn w:val="Normal"/>
    <w:next w:val="Normal"/>
    <w:semiHidden/>
    <w:rsid w:val="00492BD5"/>
    <w:pPr>
      <w:tabs>
        <w:tab w:val="right" w:pos="3960"/>
      </w:tabs>
      <w:ind w:left="2160" w:hanging="240"/>
      <w:jc w:val="left"/>
    </w:pPr>
    <w:rPr>
      <w:szCs w:val="20"/>
    </w:rPr>
  </w:style>
  <w:style w:type="paragraph" w:styleId="Caption">
    <w:name w:val="caption"/>
    <w:basedOn w:val="Normal"/>
    <w:next w:val="Normal"/>
    <w:link w:val="CaptionChar"/>
    <w:qFormat/>
    <w:rsid w:val="00FE4965"/>
    <w:pPr>
      <w:tabs>
        <w:tab w:val="right" w:pos="709"/>
        <w:tab w:val="left" w:pos="851"/>
      </w:tabs>
      <w:spacing w:before="120"/>
      <w:jc w:val="left"/>
    </w:pPr>
    <w:rPr>
      <w:b/>
      <w:bCs/>
    </w:rPr>
  </w:style>
  <w:style w:type="character" w:styleId="Hyperlink">
    <w:name w:val="Hyperlink"/>
    <w:basedOn w:val="DefaultParagraphFont"/>
    <w:uiPriority w:val="99"/>
    <w:rsid w:val="00492BD5"/>
    <w:rPr>
      <w:color w:val="0000FF"/>
      <w:u w:val="single"/>
    </w:rPr>
  </w:style>
  <w:style w:type="paragraph" w:styleId="List2">
    <w:name w:val="List 2"/>
    <w:basedOn w:val="Normal"/>
    <w:semiHidden/>
    <w:rsid w:val="00492BD5"/>
    <w:pPr>
      <w:spacing w:before="60" w:after="60"/>
      <w:ind w:left="283" w:hanging="283"/>
    </w:pPr>
  </w:style>
  <w:style w:type="paragraph" w:customStyle="1" w:styleId="Marquedannotation">
    <w:name w:val="Marque d'annotation"/>
    <w:basedOn w:val="Normal"/>
    <w:next w:val="Normal"/>
    <w:semiHidden/>
    <w:rsid w:val="00492BD5"/>
    <w:pPr>
      <w:tabs>
        <w:tab w:val="right" w:leader="dot" w:pos="8640"/>
      </w:tabs>
      <w:ind w:left="480" w:hanging="480"/>
      <w:jc w:val="left"/>
    </w:pPr>
    <w:rPr>
      <w:b/>
      <w:bCs/>
      <w:szCs w:val="20"/>
    </w:rPr>
  </w:style>
  <w:style w:type="paragraph" w:styleId="BlockText">
    <w:name w:val="Block Text"/>
    <w:basedOn w:val="Normal"/>
    <w:semiHidden/>
    <w:rsid w:val="00492BD5"/>
    <w:pPr>
      <w:widowControl w:val="0"/>
      <w:pBdr>
        <w:top w:val="single" w:sz="12" w:space="0" w:color="auto"/>
        <w:left w:val="single" w:sz="12" w:space="0" w:color="auto"/>
        <w:bottom w:val="single" w:sz="12" w:space="0" w:color="auto"/>
        <w:right w:val="single" w:sz="12" w:space="0" w:color="auto"/>
      </w:pBdr>
      <w:tabs>
        <w:tab w:val="left" w:pos="5800"/>
      </w:tabs>
      <w:ind w:left="1440" w:right="660"/>
      <w:jc w:val="center"/>
    </w:pPr>
    <w:rPr>
      <w:rFonts w:ascii="Arial" w:hAnsi="Arial" w:cs="Arial"/>
      <w:b/>
      <w:bCs/>
      <w:sz w:val="28"/>
      <w:szCs w:val="28"/>
    </w:rPr>
  </w:style>
  <w:style w:type="paragraph" w:styleId="FootnoteText">
    <w:name w:val="footnote text"/>
    <w:basedOn w:val="Normal"/>
    <w:link w:val="FootnoteTextChar"/>
    <w:semiHidden/>
    <w:rsid w:val="00492BD5"/>
    <w:rPr>
      <w:szCs w:val="20"/>
    </w:rPr>
  </w:style>
  <w:style w:type="character" w:customStyle="1" w:styleId="FootnoteTextChar">
    <w:name w:val="Footnote Text Char"/>
    <w:basedOn w:val="DefaultParagraphFont"/>
    <w:link w:val="FootnoteText"/>
    <w:semiHidden/>
    <w:rsid w:val="00492BD5"/>
    <w:rPr>
      <w:rFonts w:ascii="Trebuchet MS" w:eastAsia="Times New Roman" w:hAnsi="Trebuchet MS"/>
      <w:lang w:eastAsia="fr-FR"/>
    </w:rPr>
  </w:style>
  <w:style w:type="character" w:styleId="PageNumber">
    <w:name w:val="page number"/>
    <w:basedOn w:val="DefaultParagraphFont"/>
    <w:semiHidden/>
    <w:rsid w:val="00492BD5"/>
  </w:style>
  <w:style w:type="table" w:customStyle="1" w:styleId="Ombrageclair1">
    <w:name w:val="Ombrage clair1"/>
    <w:basedOn w:val="TableNormal"/>
    <w:uiPriority w:val="60"/>
    <w:rsid w:val="00492BD5"/>
    <w:rPr>
      <w:rFonts w:eastAsia="Times New Roman"/>
      <w:color w:val="000000"/>
      <w:lang w:eastAsia="fr-F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er">
    <w:name w:val="footer"/>
    <w:basedOn w:val="Normal"/>
    <w:link w:val="FooterChar"/>
    <w:uiPriority w:val="99"/>
    <w:rsid w:val="00492BD5"/>
    <w:pPr>
      <w:tabs>
        <w:tab w:val="center" w:pos="4320"/>
        <w:tab w:val="right" w:pos="8640"/>
      </w:tabs>
      <w:jc w:val="left"/>
    </w:pPr>
    <w:rPr>
      <w:szCs w:val="20"/>
    </w:rPr>
  </w:style>
  <w:style w:type="character" w:customStyle="1" w:styleId="FooterChar">
    <w:name w:val="Footer Char"/>
    <w:basedOn w:val="DefaultParagraphFont"/>
    <w:link w:val="Footer"/>
    <w:uiPriority w:val="99"/>
    <w:rsid w:val="00492BD5"/>
    <w:rPr>
      <w:rFonts w:ascii="Trebuchet MS" w:eastAsia="Times New Roman" w:hAnsi="Trebuchet MS"/>
      <w:lang w:eastAsia="fr-FR"/>
    </w:rPr>
  </w:style>
  <w:style w:type="paragraph" w:customStyle="1" w:styleId="Projetentete">
    <w:name w:val="Projet_en_tete"/>
    <w:basedOn w:val="Normal"/>
    <w:semiHidden/>
    <w:rsid w:val="00492BD5"/>
    <w:pPr>
      <w:ind w:right="8"/>
      <w:jc w:val="center"/>
    </w:pPr>
    <w:rPr>
      <w:szCs w:val="20"/>
    </w:rPr>
  </w:style>
  <w:style w:type="paragraph" w:customStyle="1" w:styleId="Refdedocument">
    <w:name w:val="Ref de document"/>
    <w:basedOn w:val="Normal"/>
    <w:semiHidden/>
    <w:rsid w:val="00492BD5"/>
    <w:pPr>
      <w:keepNext/>
      <w:widowControl w:val="0"/>
      <w:spacing w:before="120" w:after="0"/>
      <w:ind w:left="1418" w:hanging="1418"/>
      <w:jc w:val="left"/>
    </w:pPr>
    <w:rPr>
      <w:rFonts w:ascii="Arial" w:hAnsi="Arial" w:cs="Arial"/>
    </w:rPr>
  </w:style>
  <w:style w:type="paragraph" w:customStyle="1" w:styleId="Refentete">
    <w:name w:val="Ref_en_tete"/>
    <w:basedOn w:val="Normal"/>
    <w:semiHidden/>
    <w:rsid w:val="00492BD5"/>
    <w:pPr>
      <w:tabs>
        <w:tab w:val="right" w:pos="8760"/>
      </w:tabs>
      <w:spacing w:line="360" w:lineRule="atLeast"/>
      <w:ind w:right="2"/>
    </w:pPr>
    <w:rPr>
      <w:szCs w:val="20"/>
    </w:rPr>
  </w:style>
  <w:style w:type="paragraph" w:styleId="BodyTextIndent">
    <w:name w:val="Body Text Indent"/>
    <w:basedOn w:val="Normal"/>
    <w:link w:val="BodyTextIndentChar"/>
    <w:semiHidden/>
    <w:rsid w:val="00492BD5"/>
    <w:pPr>
      <w:ind w:left="283"/>
    </w:pPr>
  </w:style>
  <w:style w:type="character" w:customStyle="1" w:styleId="BodyTextIndentChar">
    <w:name w:val="Body Text Indent Char"/>
    <w:basedOn w:val="DefaultParagraphFont"/>
    <w:link w:val="BodyTextIndent"/>
    <w:semiHidden/>
    <w:rsid w:val="00492BD5"/>
    <w:rPr>
      <w:rFonts w:ascii="Trebuchet MS" w:eastAsia="Times New Roman" w:hAnsi="Trebuchet MS"/>
      <w:szCs w:val="24"/>
      <w:lang w:eastAsia="fr-FR"/>
    </w:rPr>
  </w:style>
  <w:style w:type="paragraph" w:customStyle="1" w:styleId="RetraitNormal">
    <w:name w:val="Retrait Normal"/>
    <w:basedOn w:val="Normal"/>
    <w:next w:val="Normal"/>
    <w:semiHidden/>
    <w:rsid w:val="00492BD5"/>
    <w:pPr>
      <w:tabs>
        <w:tab w:val="right" w:pos="3960"/>
      </w:tabs>
      <w:ind w:left="2160" w:hanging="240"/>
      <w:jc w:val="left"/>
    </w:pPr>
    <w:rPr>
      <w:szCs w:val="20"/>
    </w:rPr>
  </w:style>
  <w:style w:type="paragraph" w:customStyle="1" w:styleId="Styleannexe1NonGrasToutenmajuscule">
    <w:name w:val="Style annexe 1 + Non Gras Tout en majuscule"/>
    <w:basedOn w:val="Annexe1"/>
    <w:semiHidden/>
    <w:rsid w:val="00492BD5"/>
    <w:pPr>
      <w:numPr>
        <w:numId w:val="0"/>
      </w:numPr>
    </w:pPr>
    <w:rPr>
      <w:b w:val="0"/>
      <w:bCs w:val="0"/>
      <w:caps/>
    </w:rPr>
  </w:style>
  <w:style w:type="paragraph" w:customStyle="1" w:styleId="StyleNormalcentrGauche0cmDroite0cmAvant18pt">
    <w:name w:val="Style Normal centré + Gauche :  0 cm Droite :  0 cm Avant : 18 pt..."/>
    <w:basedOn w:val="BlockText"/>
    <w:semiHidden/>
    <w:rsid w:val="00492BD5"/>
    <w:pPr>
      <w:pBdr>
        <w:top w:val="none" w:sz="0" w:space="0" w:color="auto"/>
        <w:left w:val="none" w:sz="0" w:space="0" w:color="auto"/>
        <w:bottom w:val="none" w:sz="0" w:space="0" w:color="auto"/>
        <w:right w:val="none" w:sz="0" w:space="0" w:color="auto"/>
      </w:pBdr>
      <w:spacing w:before="360"/>
      <w:ind w:left="0" w:right="0"/>
    </w:pPr>
    <w:rPr>
      <w:rFonts w:cs="Times New Roman"/>
      <w:szCs w:val="20"/>
    </w:rPr>
  </w:style>
  <w:style w:type="paragraph" w:customStyle="1" w:styleId="TableCell">
    <w:name w:val="Table Cell"/>
    <w:basedOn w:val="Normal"/>
    <w:semiHidden/>
    <w:rsid w:val="00492BD5"/>
    <w:pPr>
      <w:spacing w:before="120"/>
      <w:jc w:val="left"/>
    </w:pPr>
  </w:style>
  <w:style w:type="paragraph" w:styleId="TableofFigures">
    <w:name w:val="table of figures"/>
    <w:basedOn w:val="Normal"/>
    <w:next w:val="Normal"/>
    <w:uiPriority w:val="99"/>
    <w:rsid w:val="00751190"/>
    <w:pPr>
      <w:tabs>
        <w:tab w:val="right" w:leader="dot" w:pos="9072"/>
      </w:tabs>
      <w:ind w:left="480" w:hanging="480"/>
      <w:jc w:val="left"/>
    </w:pPr>
    <w:rPr>
      <w:b/>
      <w:bCs/>
      <w:noProof/>
      <w:szCs w:val="20"/>
    </w:rPr>
  </w:style>
  <w:style w:type="paragraph" w:customStyle="1" w:styleId="Tableaulegende">
    <w:name w:val="Tableau_legende"/>
    <w:basedOn w:val="Caption"/>
    <w:semiHidden/>
    <w:rsid w:val="00492BD5"/>
    <w:pPr>
      <w:keepNext/>
      <w:tabs>
        <w:tab w:val="clear" w:pos="851"/>
        <w:tab w:val="left" w:pos="1276"/>
      </w:tabs>
      <w:ind w:left="1276" w:hanging="1276"/>
    </w:pPr>
  </w:style>
  <w:style w:type="paragraph" w:styleId="BalloonText">
    <w:name w:val="Balloon Text"/>
    <w:basedOn w:val="Normal"/>
    <w:link w:val="BalloonTextChar"/>
    <w:uiPriority w:val="99"/>
    <w:semiHidden/>
    <w:unhideWhenUsed/>
    <w:rsid w:val="00492BD5"/>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492BD5"/>
    <w:rPr>
      <w:rFonts w:ascii="Tahoma" w:eastAsia="Times New Roman" w:hAnsi="Tahoma" w:cs="Tahoma"/>
      <w:sz w:val="16"/>
      <w:szCs w:val="16"/>
      <w:lang w:eastAsia="fr-FR"/>
    </w:rPr>
  </w:style>
  <w:style w:type="character" w:styleId="PlaceholderText">
    <w:name w:val="Placeholder Text"/>
    <w:basedOn w:val="DefaultParagraphFont"/>
    <w:uiPriority w:val="99"/>
    <w:semiHidden/>
    <w:rsid w:val="00492BD5"/>
    <w:rPr>
      <w:color w:val="808080"/>
    </w:rPr>
  </w:style>
  <w:style w:type="paragraph" w:customStyle="1" w:styleId="texteModele">
    <w:name w:val="texteModele"/>
    <w:basedOn w:val="Normal"/>
    <w:next w:val="Normal"/>
    <w:rsid w:val="00751190"/>
    <w:rPr>
      <w:i/>
      <w:color w:val="0000FF"/>
    </w:rPr>
  </w:style>
  <w:style w:type="paragraph" w:customStyle="1" w:styleId="TITRE">
    <w:name w:val="TITRE"/>
    <w:basedOn w:val="Normal"/>
    <w:semiHidden/>
    <w:rsid w:val="00492BD5"/>
    <w:pPr>
      <w:pBdr>
        <w:top w:val="single" w:sz="6" w:space="0" w:color="auto" w:shadow="1"/>
        <w:left w:val="single" w:sz="6" w:space="0" w:color="auto" w:shadow="1"/>
        <w:bottom w:val="single" w:sz="6" w:space="0" w:color="auto" w:shadow="1"/>
        <w:right w:val="single" w:sz="6" w:space="0" w:color="auto" w:shadow="1"/>
      </w:pBdr>
      <w:spacing w:before="240" w:line="360" w:lineRule="atLeast"/>
      <w:ind w:left="1120" w:right="1678"/>
      <w:jc w:val="center"/>
    </w:pPr>
    <w:rPr>
      <w:b/>
      <w:bCs/>
      <w:sz w:val="36"/>
      <w:szCs w:val="36"/>
    </w:rPr>
  </w:style>
  <w:style w:type="character" w:customStyle="1" w:styleId="Heading2Char">
    <w:name w:val="Heading 2 Char"/>
    <w:basedOn w:val="DefaultParagraphFont"/>
    <w:link w:val="Heading2"/>
    <w:rsid w:val="00751190"/>
    <w:rPr>
      <w:rFonts w:ascii="Trebuchet MS" w:eastAsia="Times New Roman" w:hAnsi="Trebuchet MS"/>
      <w:b/>
      <w:bCs/>
      <w:color w:val="000000"/>
      <w:sz w:val="24"/>
      <w:szCs w:val="24"/>
      <w:lang w:val="en-GB" w:eastAsia="fr-FR"/>
    </w:rPr>
  </w:style>
  <w:style w:type="character" w:customStyle="1" w:styleId="Heading3Char">
    <w:name w:val="Heading 3 Char"/>
    <w:basedOn w:val="DefaultParagraphFont"/>
    <w:link w:val="Heading3"/>
    <w:rsid w:val="00492BD5"/>
    <w:rPr>
      <w:rFonts w:ascii="Trebuchet MS" w:eastAsia="Times New Roman" w:hAnsi="Trebuchet MS"/>
      <w:b/>
      <w:color w:val="000000"/>
      <w:sz w:val="24"/>
      <w:szCs w:val="28"/>
      <w:lang w:val="en-GB" w:eastAsia="fr-FR"/>
    </w:rPr>
  </w:style>
  <w:style w:type="character" w:customStyle="1" w:styleId="Heading4Char">
    <w:name w:val="Heading 4 Char"/>
    <w:basedOn w:val="DefaultParagraphFont"/>
    <w:link w:val="Heading4"/>
    <w:rsid w:val="00492BD5"/>
    <w:rPr>
      <w:rFonts w:ascii="Trebuchet MS" w:eastAsia="Times New Roman" w:hAnsi="Trebuchet MS"/>
      <w:color w:val="000000"/>
      <w:sz w:val="24"/>
      <w:szCs w:val="26"/>
      <w:lang w:val="en-GB" w:eastAsia="fr-FR"/>
    </w:rPr>
  </w:style>
  <w:style w:type="character" w:customStyle="1" w:styleId="Heading5Char">
    <w:name w:val="Heading 5 Char"/>
    <w:basedOn w:val="DefaultParagraphFont"/>
    <w:link w:val="Heading5"/>
    <w:rsid w:val="00492BD5"/>
    <w:rPr>
      <w:rFonts w:ascii="Trebuchet MS" w:eastAsia="Times New Roman" w:hAnsi="Trebuchet MS"/>
      <w:color w:val="000000"/>
      <w:szCs w:val="24"/>
      <w:lang w:val="en-GB" w:eastAsia="fr-FR"/>
    </w:rPr>
  </w:style>
  <w:style w:type="character" w:customStyle="1" w:styleId="Heading6Char">
    <w:name w:val="Heading 6 Char"/>
    <w:basedOn w:val="DefaultParagraphFont"/>
    <w:link w:val="Heading6"/>
    <w:rsid w:val="00492BD5"/>
    <w:rPr>
      <w:rFonts w:ascii="Trebuchet MS" w:eastAsia="Times New Roman" w:hAnsi="Trebuchet MS"/>
      <w:i/>
      <w:iCs/>
      <w:color w:val="000000"/>
      <w:szCs w:val="22"/>
      <w:lang w:val="en-GB" w:eastAsia="fr-FR"/>
    </w:rPr>
  </w:style>
  <w:style w:type="character" w:customStyle="1" w:styleId="Heading7Char">
    <w:name w:val="Heading 7 Char"/>
    <w:basedOn w:val="DefaultParagraphFont"/>
    <w:link w:val="Heading7"/>
    <w:rsid w:val="00492BD5"/>
    <w:rPr>
      <w:rFonts w:asciiTheme="minorHAnsi" w:eastAsia="Times New Roman" w:hAnsiTheme="minorHAnsi"/>
      <w:sz w:val="24"/>
      <w:szCs w:val="24"/>
      <w:lang w:val="en-GB" w:eastAsia="fr-FR"/>
    </w:rPr>
  </w:style>
  <w:style w:type="character" w:customStyle="1" w:styleId="Heading8Char">
    <w:name w:val="Heading 8 Char"/>
    <w:basedOn w:val="DefaultParagraphFont"/>
    <w:link w:val="Heading8"/>
    <w:rsid w:val="00492BD5"/>
    <w:rPr>
      <w:rFonts w:asciiTheme="minorHAnsi" w:eastAsia="Times New Roman" w:hAnsiTheme="minorHAnsi"/>
      <w:sz w:val="24"/>
      <w:szCs w:val="24"/>
      <w:lang w:val="en-GB" w:eastAsia="fr-FR"/>
    </w:rPr>
  </w:style>
  <w:style w:type="paragraph" w:styleId="TOC1">
    <w:name w:val="toc 1"/>
    <w:basedOn w:val="Courant"/>
    <w:next w:val="TOC2"/>
    <w:uiPriority w:val="39"/>
    <w:rsid w:val="00751190"/>
    <w:pPr>
      <w:tabs>
        <w:tab w:val="right" w:leader="dot" w:pos="9072"/>
      </w:tabs>
      <w:spacing w:line="240" w:lineRule="exact"/>
    </w:pPr>
    <w:rPr>
      <w:rFonts w:ascii="Trebuchet MS" w:hAnsi="Trebuchet MS"/>
      <w:b/>
      <w:bCs/>
      <w:noProof/>
      <w:lang w:val="en-GB"/>
    </w:rPr>
  </w:style>
  <w:style w:type="paragraph" w:styleId="TOC2">
    <w:name w:val="toc 2"/>
    <w:basedOn w:val="TOC1"/>
    <w:next w:val="TOC3"/>
    <w:uiPriority w:val="39"/>
    <w:rsid w:val="00492BD5"/>
    <w:pPr>
      <w:spacing w:before="120"/>
      <w:ind w:left="284"/>
    </w:pPr>
  </w:style>
  <w:style w:type="paragraph" w:styleId="TOC3">
    <w:name w:val="toc 3"/>
    <w:basedOn w:val="TOC2"/>
    <w:next w:val="TOC4"/>
    <w:uiPriority w:val="39"/>
    <w:rsid w:val="00492BD5"/>
    <w:pPr>
      <w:spacing w:before="0"/>
      <w:ind w:left="567"/>
    </w:pPr>
    <w:rPr>
      <w:color w:val="000000"/>
      <w:sz w:val="20"/>
      <w:szCs w:val="20"/>
    </w:rPr>
  </w:style>
  <w:style w:type="paragraph" w:styleId="TOC4">
    <w:name w:val="toc 4"/>
    <w:basedOn w:val="TOC3"/>
    <w:next w:val="TOC5"/>
    <w:uiPriority w:val="39"/>
    <w:rsid w:val="00492BD5"/>
    <w:pPr>
      <w:ind w:left="851"/>
    </w:pPr>
    <w:rPr>
      <w:b w:val="0"/>
      <w:bCs w:val="0"/>
    </w:rPr>
  </w:style>
  <w:style w:type="paragraph" w:styleId="TOC5">
    <w:name w:val="toc 5"/>
    <w:basedOn w:val="TOC4"/>
    <w:next w:val="TOC6"/>
    <w:uiPriority w:val="39"/>
    <w:rsid w:val="00492BD5"/>
    <w:pPr>
      <w:ind w:left="1134"/>
    </w:pPr>
    <w:rPr>
      <w:szCs w:val="22"/>
    </w:rPr>
  </w:style>
  <w:style w:type="paragraph" w:styleId="TOC6">
    <w:name w:val="toc 6"/>
    <w:basedOn w:val="TOC5"/>
    <w:next w:val="TOC7"/>
    <w:uiPriority w:val="39"/>
    <w:rsid w:val="00751190"/>
    <w:pPr>
      <w:tabs>
        <w:tab w:val="right" w:pos="9923"/>
      </w:tabs>
      <w:ind w:left="1418"/>
    </w:pPr>
    <w:rPr>
      <w:szCs w:val="20"/>
    </w:rPr>
  </w:style>
  <w:style w:type="paragraph" w:styleId="TOC8">
    <w:name w:val="toc 8"/>
    <w:basedOn w:val="TOC5"/>
    <w:next w:val="TOC9"/>
    <w:autoRedefine/>
    <w:uiPriority w:val="39"/>
    <w:rsid w:val="00492BD5"/>
    <w:pPr>
      <w:ind w:left="1985"/>
    </w:pPr>
    <w:rPr>
      <w:sz w:val="18"/>
      <w:szCs w:val="18"/>
    </w:rPr>
  </w:style>
  <w:style w:type="paragraph" w:styleId="TOC9">
    <w:name w:val="toc 9"/>
    <w:basedOn w:val="TOC5"/>
    <w:next w:val="Normal"/>
    <w:autoRedefine/>
    <w:uiPriority w:val="39"/>
    <w:rsid w:val="00492BD5"/>
    <w:pPr>
      <w:ind w:left="2268"/>
    </w:pPr>
    <w:rPr>
      <w:noProof w:val="0"/>
      <w:sz w:val="18"/>
      <w:szCs w:val="18"/>
      <w:lang w:val="en-US"/>
    </w:rPr>
  </w:style>
  <w:style w:type="character" w:customStyle="1" w:styleId="Heading9Char">
    <w:name w:val="Heading 9 Char"/>
    <w:basedOn w:val="DefaultParagraphFont"/>
    <w:link w:val="Heading9"/>
    <w:rsid w:val="00492BD5"/>
    <w:rPr>
      <w:rFonts w:ascii="Trebuchet MS" w:eastAsia="Times New Roman" w:hAnsi="Trebuchet MS"/>
      <w:noProof/>
      <w:color w:val="000000"/>
      <w:sz w:val="18"/>
      <w:szCs w:val="18"/>
      <w:lang w:val="en-GB" w:eastAsia="fr-FR"/>
    </w:rPr>
  </w:style>
  <w:style w:type="paragraph" w:customStyle="1" w:styleId="Titrecentr">
    <w:name w:val="Titre centré"/>
    <w:next w:val="Courant"/>
    <w:semiHidden/>
    <w:rsid w:val="00492BD5"/>
    <w:pPr>
      <w:suppressLineNumbers/>
      <w:spacing w:before="720" w:after="480" w:line="240" w:lineRule="exact"/>
      <w:jc w:val="center"/>
    </w:pPr>
    <w:rPr>
      <w:rFonts w:ascii="Arial" w:eastAsia="Times New Roman" w:hAnsi="Arial" w:cs="Arial"/>
      <w:b/>
      <w:bCs/>
      <w:caps/>
      <w:color w:val="800000"/>
      <w:sz w:val="32"/>
      <w:szCs w:val="32"/>
      <w:lang w:eastAsia="fr-FR"/>
    </w:rPr>
  </w:style>
  <w:style w:type="paragraph" w:styleId="IndexHeading">
    <w:name w:val="index heading"/>
    <w:basedOn w:val="Courant"/>
    <w:next w:val="Index1"/>
    <w:semiHidden/>
    <w:rsid w:val="00492BD5"/>
  </w:style>
  <w:style w:type="paragraph" w:styleId="TOAHeading">
    <w:name w:val="toa heading"/>
    <w:basedOn w:val="Normal"/>
    <w:next w:val="Normal"/>
    <w:semiHidden/>
    <w:rsid w:val="00492BD5"/>
    <w:pPr>
      <w:spacing w:before="120"/>
    </w:pPr>
    <w:rPr>
      <w:rFonts w:ascii="Arial" w:hAnsi="Arial" w:cs="Arial"/>
      <w:b/>
      <w:bCs/>
    </w:rPr>
  </w:style>
  <w:style w:type="paragraph" w:customStyle="1" w:styleId="Titreentete">
    <w:name w:val="Titre_en_tete"/>
    <w:basedOn w:val="Normal"/>
    <w:semiHidden/>
    <w:rsid w:val="00492BD5"/>
    <w:pPr>
      <w:spacing w:before="240"/>
      <w:ind w:right="-37"/>
      <w:jc w:val="center"/>
    </w:pPr>
    <w:rPr>
      <w:b/>
      <w:bCs/>
      <w:szCs w:val="20"/>
    </w:rPr>
  </w:style>
  <w:style w:type="paragraph" w:customStyle="1" w:styleId="TM1annexe">
    <w:name w:val="TM 1 annexe"/>
    <w:basedOn w:val="TOC1"/>
    <w:autoRedefine/>
    <w:semiHidden/>
    <w:rsid w:val="00492BD5"/>
    <w:pPr>
      <w:ind w:right="709"/>
    </w:pPr>
  </w:style>
  <w:style w:type="paragraph" w:styleId="TOC7">
    <w:name w:val="toc 7"/>
    <w:basedOn w:val="TOC5"/>
    <w:next w:val="TOC8"/>
    <w:autoRedefine/>
    <w:uiPriority w:val="39"/>
    <w:rsid w:val="00492BD5"/>
    <w:pPr>
      <w:ind w:left="1701"/>
    </w:pPr>
    <w:rPr>
      <w:szCs w:val="20"/>
    </w:rPr>
  </w:style>
  <w:style w:type="paragraph" w:customStyle="1" w:styleId="TMACAC">
    <w:name w:val="TM AC&amp;AC"/>
    <w:basedOn w:val="Courant"/>
    <w:semiHidden/>
    <w:rsid w:val="00492BD5"/>
    <w:pPr>
      <w:tabs>
        <w:tab w:val="right" w:leader="dot" w:pos="9923"/>
      </w:tabs>
      <w:spacing w:before="120"/>
      <w:ind w:left="284" w:right="567"/>
    </w:pPr>
    <w:rPr>
      <w:rFonts w:ascii="Arial" w:hAnsi="Arial" w:cs="Arial"/>
    </w:rPr>
  </w:style>
  <w:style w:type="paragraph" w:customStyle="1" w:styleId="TMANNEXE">
    <w:name w:val="TM ANNEXE"/>
    <w:basedOn w:val="TOC1"/>
    <w:semiHidden/>
    <w:rsid w:val="00492BD5"/>
  </w:style>
  <w:style w:type="paragraph" w:customStyle="1" w:styleId="TM6">
    <w:name w:val="TM6"/>
    <w:basedOn w:val="TOC5"/>
    <w:autoRedefine/>
    <w:semiHidden/>
    <w:rsid w:val="00492BD5"/>
    <w:rPr>
      <w:i/>
    </w:rPr>
  </w:style>
  <w:style w:type="character" w:customStyle="1" w:styleId="CourantCar">
    <w:name w:val="Courant Car"/>
    <w:basedOn w:val="DefaultParagraphFont"/>
    <w:link w:val="Courant"/>
    <w:semiHidden/>
    <w:rsid w:val="005F5D94"/>
    <w:rPr>
      <w:rFonts w:ascii="Times" w:eastAsia="Times New Roman" w:hAnsi="Times"/>
      <w:sz w:val="24"/>
      <w:szCs w:val="24"/>
      <w:lang w:eastAsia="fr-FR"/>
    </w:rPr>
  </w:style>
  <w:style w:type="numbering" w:customStyle="1" w:styleId="Style1">
    <w:name w:val="Style1"/>
    <w:uiPriority w:val="99"/>
    <w:rsid w:val="00542436"/>
    <w:pPr>
      <w:numPr>
        <w:numId w:val="3"/>
      </w:numPr>
    </w:pPr>
  </w:style>
  <w:style w:type="paragraph" w:customStyle="1" w:styleId="Titre-non-index">
    <w:name w:val="Titre-non-indexé"/>
    <w:basedOn w:val="Normal"/>
    <w:next w:val="Normal"/>
    <w:qFormat/>
    <w:rsid w:val="00E36AFF"/>
    <w:pPr>
      <w:pBdr>
        <w:top w:val="single" w:sz="4" w:space="1" w:color="auto"/>
        <w:left w:val="single" w:sz="4" w:space="4" w:color="auto"/>
        <w:bottom w:val="single" w:sz="4" w:space="1" w:color="auto"/>
        <w:right w:val="single" w:sz="4" w:space="9" w:color="auto"/>
      </w:pBdr>
      <w:shd w:val="clear" w:color="auto" w:fill="D9D9D9" w:themeFill="background1" w:themeFillShade="D9"/>
      <w:tabs>
        <w:tab w:val="right" w:pos="8647"/>
      </w:tabs>
      <w:spacing w:before="120" w:after="200"/>
      <w:outlineLvl w:val="8"/>
    </w:pPr>
    <w:rPr>
      <w:sz w:val="28"/>
      <w:szCs w:val="28"/>
    </w:rPr>
  </w:style>
  <w:style w:type="paragraph" w:customStyle="1" w:styleId="CodeSource">
    <w:name w:val="CodeSource"/>
    <w:qFormat/>
    <w:rsid w:val="00751190"/>
    <w:pPr>
      <w:pBdr>
        <w:top w:val="single" w:sz="4" w:space="1" w:color="auto"/>
        <w:left w:val="single" w:sz="4" w:space="4" w:color="auto"/>
        <w:bottom w:val="single" w:sz="4" w:space="1" w:color="auto"/>
        <w:right w:val="single" w:sz="4" w:space="4" w:color="auto"/>
      </w:pBdr>
      <w:shd w:val="clear" w:color="auto" w:fill="F2F2F2" w:themeFill="background1" w:themeFillShade="F2"/>
    </w:pPr>
    <w:rPr>
      <w:rFonts w:ascii="Courier New" w:eastAsia="Times New Roman" w:hAnsi="Courier New"/>
      <w:sz w:val="18"/>
      <w:szCs w:val="18"/>
      <w:lang w:val="en-GB" w:eastAsia="fr-FR"/>
    </w:rPr>
  </w:style>
  <w:style w:type="paragraph" w:customStyle="1" w:styleId="Sous-titrenonindex">
    <w:name w:val="Sous-titre non indexé"/>
    <w:basedOn w:val="Titre-non-index"/>
    <w:next w:val="Normal"/>
    <w:qFormat/>
    <w:rsid w:val="003A64DF"/>
    <w:pPr>
      <w:pBdr>
        <w:top w:val="none" w:sz="0" w:space="0" w:color="auto"/>
        <w:left w:val="none" w:sz="0" w:space="0" w:color="auto"/>
        <w:bottom w:val="none" w:sz="0" w:space="0" w:color="auto"/>
        <w:right w:val="none" w:sz="0" w:space="0" w:color="auto"/>
      </w:pBdr>
      <w:shd w:val="clear" w:color="auto" w:fill="auto"/>
      <w:tabs>
        <w:tab w:val="clear" w:pos="8647"/>
        <w:tab w:val="left" w:pos="4838"/>
      </w:tabs>
      <w:ind w:right="-6"/>
    </w:pPr>
    <w:rPr>
      <w:szCs w:val="24"/>
    </w:rPr>
  </w:style>
  <w:style w:type="paragraph" w:styleId="ListParagraph">
    <w:name w:val="List Paragraph"/>
    <w:basedOn w:val="Normal"/>
    <w:uiPriority w:val="34"/>
    <w:qFormat/>
    <w:rsid w:val="00817A6F"/>
    <w:pPr>
      <w:ind w:left="720"/>
      <w:contextualSpacing/>
    </w:pPr>
  </w:style>
  <w:style w:type="character" w:styleId="CommentReference">
    <w:name w:val="annotation reference"/>
    <w:basedOn w:val="DefaultParagraphFont"/>
    <w:uiPriority w:val="99"/>
    <w:semiHidden/>
    <w:unhideWhenUsed/>
    <w:rsid w:val="00815897"/>
    <w:rPr>
      <w:sz w:val="16"/>
      <w:szCs w:val="16"/>
    </w:rPr>
  </w:style>
  <w:style w:type="paragraph" w:styleId="CommentSubject">
    <w:name w:val="annotation subject"/>
    <w:basedOn w:val="CommentText"/>
    <w:next w:val="CommentText"/>
    <w:link w:val="CommentSubjectChar"/>
    <w:uiPriority w:val="99"/>
    <w:semiHidden/>
    <w:unhideWhenUsed/>
    <w:rsid w:val="00815897"/>
    <w:pPr>
      <w:keepLines w:val="0"/>
    </w:pPr>
    <w:rPr>
      <w:b/>
      <w:bCs/>
      <w:i w:val="0"/>
      <w:iCs w:val="0"/>
      <w:szCs w:val="20"/>
    </w:rPr>
  </w:style>
  <w:style w:type="character" w:customStyle="1" w:styleId="CommentSubjectChar">
    <w:name w:val="Comment Subject Char"/>
    <w:basedOn w:val="CommentTextChar"/>
    <w:link w:val="CommentSubject"/>
    <w:uiPriority w:val="99"/>
    <w:semiHidden/>
    <w:rsid w:val="00815897"/>
    <w:rPr>
      <w:rFonts w:ascii="Trebuchet MS" w:eastAsia="Times New Roman" w:hAnsi="Trebuchet MS"/>
      <w:b/>
      <w:bCs/>
      <w:i w:val="0"/>
      <w:iCs w:val="0"/>
      <w:szCs w:val="24"/>
      <w:lang w:val="en-GB" w:eastAsia="fr-FR"/>
    </w:rPr>
  </w:style>
  <w:style w:type="paragraph" w:styleId="NoSpacing">
    <w:name w:val="No Spacing"/>
    <w:uiPriority w:val="1"/>
    <w:qFormat/>
    <w:rsid w:val="00574228"/>
    <w:pPr>
      <w:jc w:val="both"/>
    </w:pPr>
    <w:rPr>
      <w:rFonts w:asciiTheme="minorHAnsi" w:eastAsia="Times New Roman" w:hAnsiTheme="minorHAnsi"/>
      <w:sz w:val="24"/>
      <w:szCs w:val="24"/>
      <w:lang w:val="en-GB" w:eastAsia="fr-FR"/>
    </w:rPr>
  </w:style>
  <w:style w:type="paragraph" w:styleId="NormalWeb">
    <w:name w:val="Normal (Web)"/>
    <w:basedOn w:val="Normal"/>
    <w:uiPriority w:val="99"/>
    <w:unhideWhenUsed/>
    <w:rsid w:val="006A5506"/>
    <w:pPr>
      <w:spacing w:before="100" w:beforeAutospacing="1" w:after="100" w:afterAutospacing="1"/>
      <w:jc w:val="left"/>
    </w:pPr>
    <w:rPr>
      <w:rFonts w:ascii="Times New Roman" w:eastAsiaTheme="minorEastAsia" w:hAnsi="Times New Roman"/>
      <w:lang w:eastAsia="en-GB"/>
    </w:rPr>
  </w:style>
  <w:style w:type="paragraph" w:customStyle="1" w:styleId="FirstParagraph">
    <w:name w:val="First Paragraph"/>
    <w:basedOn w:val="BodyText"/>
    <w:next w:val="BodyText"/>
    <w:qFormat/>
    <w:rsid w:val="006A5506"/>
    <w:pPr>
      <w:widowControl/>
      <w:spacing w:before="180" w:after="180"/>
      <w:ind w:right="0"/>
      <w:jc w:val="left"/>
    </w:pPr>
    <w:rPr>
      <w:rFonts w:eastAsiaTheme="minorHAnsi" w:cstheme="minorBidi"/>
      <w:lang w:val="en-US" w:eastAsia="en-US"/>
    </w:rPr>
  </w:style>
  <w:style w:type="paragraph" w:customStyle="1" w:styleId="Compact">
    <w:name w:val="Compact"/>
    <w:basedOn w:val="BodyText"/>
    <w:qFormat/>
    <w:rsid w:val="006A5506"/>
    <w:pPr>
      <w:widowControl/>
      <w:spacing w:before="36" w:after="36"/>
      <w:ind w:right="0"/>
      <w:jc w:val="left"/>
    </w:pPr>
    <w:rPr>
      <w:rFonts w:eastAsiaTheme="minorHAnsi" w:cstheme="minorBidi"/>
      <w:lang w:val="en-US" w:eastAsia="en-US"/>
    </w:rPr>
  </w:style>
  <w:style w:type="paragraph" w:customStyle="1" w:styleId="MediumList2-Accent41">
    <w:name w:val="Medium List 2 - Accent 41"/>
    <w:basedOn w:val="Normal"/>
    <w:uiPriority w:val="34"/>
    <w:qFormat/>
    <w:rsid w:val="006A5506"/>
    <w:pPr>
      <w:spacing w:before="120" w:after="0" w:line="360" w:lineRule="auto"/>
      <w:ind w:left="1304"/>
    </w:pPr>
    <w:rPr>
      <w:rFonts w:ascii="Times New Roman" w:hAnsi="Times New Roman"/>
      <w:color w:val="000000"/>
      <w:szCs w:val="20"/>
      <w:lang w:val="de-DE" w:eastAsia="de-DE"/>
    </w:rPr>
  </w:style>
  <w:style w:type="character" w:styleId="FollowedHyperlink">
    <w:name w:val="FollowedHyperlink"/>
    <w:basedOn w:val="DefaultParagraphFont"/>
    <w:uiPriority w:val="99"/>
    <w:semiHidden/>
    <w:unhideWhenUsed/>
    <w:rsid w:val="00D91995"/>
    <w:rPr>
      <w:color w:val="800080" w:themeColor="followedHyperlink"/>
      <w:u w:val="single"/>
    </w:rPr>
  </w:style>
  <w:style w:type="paragraph" w:customStyle="1" w:styleId="Caption2">
    <w:name w:val="Caption2"/>
    <w:basedOn w:val="Caption"/>
    <w:next w:val="Caption"/>
    <w:link w:val="Caption2Char"/>
    <w:qFormat/>
    <w:rsid w:val="00FE4965"/>
    <w:pPr>
      <w:tabs>
        <w:tab w:val="clear" w:pos="709"/>
      </w:tabs>
    </w:pPr>
    <w:rPr>
      <w:lang w:val="en-US"/>
    </w:rPr>
  </w:style>
  <w:style w:type="paragraph" w:styleId="EndnoteText">
    <w:name w:val="endnote text"/>
    <w:basedOn w:val="Normal"/>
    <w:link w:val="EndnoteTextChar"/>
    <w:uiPriority w:val="99"/>
    <w:semiHidden/>
    <w:unhideWhenUsed/>
    <w:rsid w:val="00DC500D"/>
    <w:pPr>
      <w:spacing w:after="0"/>
    </w:pPr>
    <w:rPr>
      <w:sz w:val="20"/>
      <w:szCs w:val="20"/>
    </w:rPr>
  </w:style>
  <w:style w:type="character" w:customStyle="1" w:styleId="CaptionChar">
    <w:name w:val="Caption Char"/>
    <w:basedOn w:val="DefaultParagraphFont"/>
    <w:link w:val="Caption"/>
    <w:rsid w:val="00FE4965"/>
    <w:rPr>
      <w:rFonts w:asciiTheme="minorHAnsi" w:eastAsia="Times New Roman" w:hAnsiTheme="minorHAnsi"/>
      <w:b/>
      <w:bCs/>
      <w:sz w:val="24"/>
      <w:szCs w:val="24"/>
      <w:lang w:val="en-GB" w:eastAsia="fr-FR"/>
    </w:rPr>
  </w:style>
  <w:style w:type="character" w:customStyle="1" w:styleId="Caption2Char">
    <w:name w:val="Caption2 Char"/>
    <w:basedOn w:val="CaptionChar"/>
    <w:link w:val="Caption2"/>
    <w:rsid w:val="00FE4965"/>
    <w:rPr>
      <w:rFonts w:asciiTheme="minorHAnsi" w:eastAsia="Times New Roman" w:hAnsiTheme="minorHAnsi"/>
      <w:b/>
      <w:bCs/>
      <w:sz w:val="24"/>
      <w:szCs w:val="24"/>
      <w:lang w:val="en-US" w:eastAsia="fr-FR"/>
    </w:rPr>
  </w:style>
  <w:style w:type="character" w:customStyle="1" w:styleId="EndnoteTextChar">
    <w:name w:val="Endnote Text Char"/>
    <w:basedOn w:val="DefaultParagraphFont"/>
    <w:link w:val="EndnoteText"/>
    <w:uiPriority w:val="99"/>
    <w:semiHidden/>
    <w:rsid w:val="00DC500D"/>
    <w:rPr>
      <w:rFonts w:asciiTheme="minorHAnsi" w:eastAsia="Times New Roman" w:hAnsiTheme="minorHAnsi"/>
      <w:lang w:val="en-GB" w:eastAsia="fr-FR"/>
    </w:rPr>
  </w:style>
  <w:style w:type="character" w:customStyle="1" w:styleId="UnresolvedMention1">
    <w:name w:val="Unresolved Mention1"/>
    <w:basedOn w:val="DefaultParagraphFont"/>
    <w:uiPriority w:val="99"/>
    <w:semiHidden/>
    <w:unhideWhenUsed/>
    <w:rsid w:val="005A3374"/>
    <w:rPr>
      <w:color w:val="808080"/>
      <w:shd w:val="clear" w:color="auto" w:fill="E6E6E6"/>
    </w:rPr>
  </w:style>
  <w:style w:type="character" w:customStyle="1" w:styleId="UnresolvedMention2">
    <w:name w:val="Unresolved Mention2"/>
    <w:basedOn w:val="DefaultParagraphFont"/>
    <w:uiPriority w:val="99"/>
    <w:semiHidden/>
    <w:unhideWhenUsed/>
    <w:rsid w:val="0065665A"/>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462252">
      <w:bodyDiv w:val="1"/>
      <w:marLeft w:val="0"/>
      <w:marRight w:val="0"/>
      <w:marTop w:val="0"/>
      <w:marBottom w:val="0"/>
      <w:divBdr>
        <w:top w:val="none" w:sz="0" w:space="0" w:color="auto"/>
        <w:left w:val="none" w:sz="0" w:space="0" w:color="auto"/>
        <w:bottom w:val="none" w:sz="0" w:space="0" w:color="auto"/>
        <w:right w:val="none" w:sz="0" w:space="0" w:color="auto"/>
      </w:divBdr>
    </w:div>
    <w:div w:id="126313750">
      <w:bodyDiv w:val="1"/>
      <w:marLeft w:val="0"/>
      <w:marRight w:val="0"/>
      <w:marTop w:val="0"/>
      <w:marBottom w:val="0"/>
      <w:divBdr>
        <w:top w:val="none" w:sz="0" w:space="0" w:color="auto"/>
        <w:left w:val="none" w:sz="0" w:space="0" w:color="auto"/>
        <w:bottom w:val="none" w:sz="0" w:space="0" w:color="auto"/>
        <w:right w:val="none" w:sz="0" w:space="0" w:color="auto"/>
      </w:divBdr>
    </w:div>
    <w:div w:id="203686699">
      <w:bodyDiv w:val="1"/>
      <w:marLeft w:val="0"/>
      <w:marRight w:val="0"/>
      <w:marTop w:val="0"/>
      <w:marBottom w:val="0"/>
      <w:divBdr>
        <w:top w:val="none" w:sz="0" w:space="0" w:color="auto"/>
        <w:left w:val="none" w:sz="0" w:space="0" w:color="auto"/>
        <w:bottom w:val="none" w:sz="0" w:space="0" w:color="auto"/>
        <w:right w:val="none" w:sz="0" w:space="0" w:color="auto"/>
      </w:divBdr>
    </w:div>
    <w:div w:id="621692522">
      <w:bodyDiv w:val="1"/>
      <w:marLeft w:val="0"/>
      <w:marRight w:val="0"/>
      <w:marTop w:val="0"/>
      <w:marBottom w:val="0"/>
      <w:divBdr>
        <w:top w:val="none" w:sz="0" w:space="0" w:color="auto"/>
        <w:left w:val="none" w:sz="0" w:space="0" w:color="auto"/>
        <w:bottom w:val="none" w:sz="0" w:space="0" w:color="auto"/>
        <w:right w:val="none" w:sz="0" w:space="0" w:color="auto"/>
      </w:divBdr>
    </w:div>
    <w:div w:id="652418262">
      <w:bodyDiv w:val="1"/>
      <w:marLeft w:val="0"/>
      <w:marRight w:val="0"/>
      <w:marTop w:val="0"/>
      <w:marBottom w:val="0"/>
      <w:divBdr>
        <w:top w:val="none" w:sz="0" w:space="0" w:color="auto"/>
        <w:left w:val="none" w:sz="0" w:space="0" w:color="auto"/>
        <w:bottom w:val="none" w:sz="0" w:space="0" w:color="auto"/>
        <w:right w:val="none" w:sz="0" w:space="0" w:color="auto"/>
      </w:divBdr>
    </w:div>
    <w:div w:id="653340497">
      <w:bodyDiv w:val="1"/>
      <w:marLeft w:val="0"/>
      <w:marRight w:val="0"/>
      <w:marTop w:val="0"/>
      <w:marBottom w:val="0"/>
      <w:divBdr>
        <w:top w:val="none" w:sz="0" w:space="0" w:color="auto"/>
        <w:left w:val="none" w:sz="0" w:space="0" w:color="auto"/>
        <w:bottom w:val="none" w:sz="0" w:space="0" w:color="auto"/>
        <w:right w:val="none" w:sz="0" w:space="0" w:color="auto"/>
      </w:divBdr>
    </w:div>
    <w:div w:id="774441157">
      <w:bodyDiv w:val="1"/>
      <w:marLeft w:val="0"/>
      <w:marRight w:val="0"/>
      <w:marTop w:val="0"/>
      <w:marBottom w:val="0"/>
      <w:divBdr>
        <w:top w:val="none" w:sz="0" w:space="0" w:color="auto"/>
        <w:left w:val="none" w:sz="0" w:space="0" w:color="auto"/>
        <w:bottom w:val="none" w:sz="0" w:space="0" w:color="auto"/>
        <w:right w:val="none" w:sz="0" w:space="0" w:color="auto"/>
      </w:divBdr>
    </w:div>
    <w:div w:id="793409223">
      <w:bodyDiv w:val="1"/>
      <w:marLeft w:val="0"/>
      <w:marRight w:val="0"/>
      <w:marTop w:val="0"/>
      <w:marBottom w:val="0"/>
      <w:divBdr>
        <w:top w:val="none" w:sz="0" w:space="0" w:color="auto"/>
        <w:left w:val="none" w:sz="0" w:space="0" w:color="auto"/>
        <w:bottom w:val="none" w:sz="0" w:space="0" w:color="auto"/>
        <w:right w:val="none" w:sz="0" w:space="0" w:color="auto"/>
      </w:divBdr>
    </w:div>
    <w:div w:id="1345550348">
      <w:bodyDiv w:val="1"/>
      <w:marLeft w:val="0"/>
      <w:marRight w:val="0"/>
      <w:marTop w:val="0"/>
      <w:marBottom w:val="0"/>
      <w:divBdr>
        <w:top w:val="none" w:sz="0" w:space="0" w:color="auto"/>
        <w:left w:val="none" w:sz="0" w:space="0" w:color="auto"/>
        <w:bottom w:val="none" w:sz="0" w:space="0" w:color="auto"/>
        <w:right w:val="none" w:sz="0" w:space="0" w:color="auto"/>
      </w:divBdr>
    </w:div>
    <w:div w:id="1362319012">
      <w:bodyDiv w:val="1"/>
      <w:marLeft w:val="0"/>
      <w:marRight w:val="0"/>
      <w:marTop w:val="0"/>
      <w:marBottom w:val="0"/>
      <w:divBdr>
        <w:top w:val="none" w:sz="0" w:space="0" w:color="auto"/>
        <w:left w:val="none" w:sz="0" w:space="0" w:color="auto"/>
        <w:bottom w:val="none" w:sz="0" w:space="0" w:color="auto"/>
        <w:right w:val="none" w:sz="0" w:space="0" w:color="auto"/>
      </w:divBdr>
    </w:div>
    <w:div w:id="2133666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yperlink" Target="http://marine.copernicus.eu/" TargetMode="External"/><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3.png"/><Relationship Id="rId34" Type="http://schemas.openxmlformats.org/officeDocument/2006/relationships/theme" Target="theme/theme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footer" Target="footer2.xml"/><Relationship Id="rId25" Type="http://schemas.openxmlformats.org/officeDocument/2006/relationships/image" Target="media/image7.png"/><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eader" Target="header4.xm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6.png"/><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5.png"/><Relationship Id="rId28" Type="http://schemas.openxmlformats.org/officeDocument/2006/relationships/image" Target="media/image10.png"/><Relationship Id="rId10" Type="http://schemas.openxmlformats.org/officeDocument/2006/relationships/settings" Target="settings.xml"/><Relationship Id="rId19" Type="http://schemas.openxmlformats.org/officeDocument/2006/relationships/header" Target="header3.xml"/><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eader" Target="header1.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s>
</file>

<file path=word/_rels/footer1.xml.rels><?xml version="1.0" encoding="UTF-8" standalone="yes"?>
<Relationships xmlns="http://schemas.openxmlformats.org/package/2006/relationships"><Relationship Id="rId1" Type="http://schemas.openxmlformats.org/officeDocument/2006/relationships/hyperlink" Target="http://www.mesopp.eu"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www.mesopp.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7E1827FE640F4A2AB9476E3A25A1CD22"/>
        <w:category>
          <w:name w:val="Général"/>
          <w:gallery w:val="placeholder"/>
        </w:category>
        <w:types>
          <w:type w:val="bbPlcHdr"/>
        </w:types>
        <w:behaviors>
          <w:behavior w:val="content"/>
        </w:behaviors>
        <w:guid w:val="{A27BB3FC-0029-48D5-A539-03F2386447A5}"/>
      </w:docPartPr>
      <w:docPartBody>
        <w:p w:rsidR="00B32C9F" w:rsidRDefault="004218AA">
          <w:pPr>
            <w:pStyle w:val="7E1827FE640F4A2AB9476E3A25A1CD22"/>
          </w:pPr>
          <w:r w:rsidRPr="009B6ABB">
            <w:rPr>
              <w:rStyle w:val="PlaceholderText"/>
            </w:rPr>
            <w:t>[Titre ]</w:t>
          </w:r>
        </w:p>
      </w:docPartBody>
    </w:docPart>
    <w:docPart>
      <w:docPartPr>
        <w:name w:val="2C429827327A46BCA7EFFAF9F90595FA"/>
        <w:category>
          <w:name w:val="Général"/>
          <w:gallery w:val="placeholder"/>
        </w:category>
        <w:types>
          <w:type w:val="bbPlcHdr"/>
        </w:types>
        <w:behaviors>
          <w:behavior w:val="content"/>
        </w:behaviors>
        <w:guid w:val="{D9E70ECB-6BC3-4102-B450-16D7B0FF4918}"/>
      </w:docPartPr>
      <w:docPartBody>
        <w:p w:rsidR="00B32C9F" w:rsidRDefault="004218AA">
          <w:pPr>
            <w:pStyle w:val="2C429827327A46BCA7EFFAF9F90595FA"/>
          </w:pPr>
          <w:r w:rsidRPr="00A365B2">
            <w:rPr>
              <w:rStyle w:val="PlaceholderText"/>
            </w:rPr>
            <w:t>[Titre ]</w:t>
          </w:r>
        </w:p>
      </w:docPartBody>
    </w:docPart>
    <w:docPart>
      <w:docPartPr>
        <w:name w:val="CABD246638F942B9B11E613BC8720D91"/>
        <w:category>
          <w:name w:val="Général"/>
          <w:gallery w:val="placeholder"/>
        </w:category>
        <w:types>
          <w:type w:val="bbPlcHdr"/>
        </w:types>
        <w:behaviors>
          <w:behavior w:val="content"/>
        </w:behaviors>
        <w:guid w:val="{AAC0521A-CFB0-4D34-8292-F223C9150C9A}"/>
      </w:docPartPr>
      <w:docPartBody>
        <w:p w:rsidR="00764091" w:rsidRDefault="003157C0">
          <w:r w:rsidRPr="0072027A">
            <w:rPr>
              <w:rStyle w:val="PlaceholderText"/>
            </w:rPr>
            <w:t>[Nomenclature]</w:t>
          </w:r>
        </w:p>
      </w:docPartBody>
    </w:docPart>
    <w:docPart>
      <w:docPartPr>
        <w:name w:val="045C234ACD39453FAE85031DBAFF6DDD"/>
        <w:category>
          <w:name w:val="Général"/>
          <w:gallery w:val="placeholder"/>
        </w:category>
        <w:types>
          <w:type w:val="bbPlcHdr"/>
        </w:types>
        <w:behaviors>
          <w:behavior w:val="content"/>
        </w:behaviors>
        <w:guid w:val="{D83E635A-E8F0-4ECC-9ED3-43FACD6A0E3E}"/>
      </w:docPartPr>
      <w:docPartBody>
        <w:p w:rsidR="00BB0149" w:rsidRDefault="00764091">
          <w:r w:rsidRPr="00680E11">
            <w:rPr>
              <w:rStyle w:val="PlaceholderText"/>
            </w:rPr>
            <w:t>[Nomenclature]</w:t>
          </w:r>
        </w:p>
      </w:docPartBody>
    </w:docPart>
    <w:docPart>
      <w:docPartPr>
        <w:name w:val="6A80C258FA5141D584B6EBD9115E47F9"/>
        <w:category>
          <w:name w:val="Général"/>
          <w:gallery w:val="placeholder"/>
        </w:category>
        <w:types>
          <w:type w:val="bbPlcHdr"/>
        </w:types>
        <w:behaviors>
          <w:behavior w:val="content"/>
        </w:behaviors>
        <w:guid w:val="{8B072EFD-0947-401B-A674-B7A4BB287FBC}"/>
      </w:docPartPr>
      <w:docPartBody>
        <w:p w:rsidR="003809DA" w:rsidRDefault="003809DA">
          <w:r w:rsidRPr="00730D7D">
            <w:rPr>
              <w:rStyle w:val="PlaceholderText"/>
            </w:rPr>
            <w:t>[Catégorie ]</w:t>
          </w:r>
        </w:p>
      </w:docPartBody>
    </w:docPart>
    <w:docPart>
      <w:docPartPr>
        <w:name w:val="6921BB5CB5A64C798D04C20684826BA5"/>
        <w:category>
          <w:name w:val="Général"/>
          <w:gallery w:val="placeholder"/>
        </w:category>
        <w:types>
          <w:type w:val="bbPlcHdr"/>
        </w:types>
        <w:behaviors>
          <w:behavior w:val="content"/>
        </w:behaviors>
        <w:guid w:val="{081DB020-84E9-485F-847A-8B0AADE70B4B}"/>
      </w:docPartPr>
      <w:docPartBody>
        <w:p w:rsidR="003809DA" w:rsidRDefault="003809DA">
          <w:r w:rsidRPr="00730D7D">
            <w:rPr>
              <w:rStyle w:val="PlaceholderText"/>
            </w:rPr>
            <w:t>[Reference]</w:t>
          </w:r>
        </w:p>
      </w:docPartBody>
    </w:docPart>
    <w:docPart>
      <w:docPartPr>
        <w:name w:val="119CB33CCEF64B7797AAB8A0F0D16261"/>
        <w:category>
          <w:name w:val="Général"/>
          <w:gallery w:val="placeholder"/>
        </w:category>
        <w:types>
          <w:type w:val="bbPlcHdr"/>
        </w:types>
        <w:behaviors>
          <w:behavior w:val="content"/>
        </w:behaviors>
        <w:guid w:val="{EF392D92-8722-4EA1-ABD9-3751F472AB61}"/>
      </w:docPartPr>
      <w:docPartBody>
        <w:p w:rsidR="003809DA" w:rsidRDefault="003809DA">
          <w:r w:rsidRPr="00730D7D">
            <w:rPr>
              <w:rStyle w:val="PlaceholderText"/>
            </w:rPr>
            <w:t>[Edition Number]</w:t>
          </w:r>
        </w:p>
      </w:docPartBody>
    </w:docPart>
    <w:docPart>
      <w:docPartPr>
        <w:name w:val="65B6542F069F42F5883FFBFC87E2DDE1"/>
        <w:category>
          <w:name w:val="Général"/>
          <w:gallery w:val="placeholder"/>
        </w:category>
        <w:types>
          <w:type w:val="bbPlcHdr"/>
        </w:types>
        <w:behaviors>
          <w:behavior w:val="content"/>
        </w:behaviors>
        <w:guid w:val="{B617B79A-7FE1-4E00-B4CA-7638EC7D2EB2}"/>
      </w:docPartPr>
      <w:docPartBody>
        <w:p w:rsidR="003809DA" w:rsidRDefault="003809DA">
          <w:r w:rsidRPr="00730D7D">
            <w:rPr>
              <w:rStyle w:val="PlaceholderText"/>
            </w:rPr>
            <w:t>[Revision Number]</w:t>
          </w:r>
        </w:p>
      </w:docPartBody>
    </w:docPart>
    <w:docPart>
      <w:docPartPr>
        <w:name w:val="DCCF821A32924D7D9F4F4F61DA564DAC"/>
        <w:category>
          <w:name w:val="Général"/>
          <w:gallery w:val="placeholder"/>
        </w:category>
        <w:types>
          <w:type w:val="bbPlcHdr"/>
        </w:types>
        <w:behaviors>
          <w:behavior w:val="content"/>
        </w:behaviors>
        <w:guid w:val="{703A891F-639F-43C4-A83F-2C36865D0262}"/>
      </w:docPartPr>
      <w:docPartBody>
        <w:p w:rsidR="003809DA" w:rsidRDefault="003809DA">
          <w:r w:rsidRPr="00730D7D">
            <w:rPr>
              <w:rStyle w:val="PlaceholderText"/>
            </w:rPr>
            <w:t>[Issue Date]</w:t>
          </w:r>
        </w:p>
      </w:docPartBody>
    </w:docPart>
    <w:docPart>
      <w:docPartPr>
        <w:name w:val="C601781CF1FF409F94446B6C431D6F3D"/>
        <w:category>
          <w:name w:val="Général"/>
          <w:gallery w:val="placeholder"/>
        </w:category>
        <w:types>
          <w:type w:val="bbPlcHdr"/>
        </w:types>
        <w:behaviors>
          <w:behavior w:val="content"/>
        </w:behaviors>
        <w:guid w:val="{7F57338F-93D8-46BC-AAF1-BCB8F895F2A3}"/>
      </w:docPartPr>
      <w:docPartBody>
        <w:p w:rsidR="003809DA" w:rsidRDefault="003809DA">
          <w:r w:rsidRPr="00730D7D">
            <w:rPr>
              <w:rStyle w:val="PlaceholderText"/>
            </w:rPr>
            <w:t>[Reference]</w:t>
          </w:r>
        </w:p>
      </w:docPartBody>
    </w:docPart>
    <w:docPart>
      <w:docPartPr>
        <w:name w:val="F46D3E4E36DF40CD91B153CFB437B1DB"/>
        <w:category>
          <w:name w:val="Général"/>
          <w:gallery w:val="placeholder"/>
        </w:category>
        <w:types>
          <w:type w:val="bbPlcHdr"/>
        </w:types>
        <w:behaviors>
          <w:behavior w:val="content"/>
        </w:behaviors>
        <w:guid w:val="{4A6203A3-5A76-47F8-9B0A-E92DC635C0C0}"/>
      </w:docPartPr>
      <w:docPartBody>
        <w:p w:rsidR="003809DA" w:rsidRDefault="003809DA">
          <w:r w:rsidRPr="00730D7D">
            <w:rPr>
              <w:rStyle w:val="PlaceholderText"/>
            </w:rPr>
            <w:t>[Edition Number]</w:t>
          </w:r>
        </w:p>
      </w:docPartBody>
    </w:docPart>
    <w:docPart>
      <w:docPartPr>
        <w:name w:val="002191A6445C4E1E9DDB3CC44D7FACDD"/>
        <w:category>
          <w:name w:val="Général"/>
          <w:gallery w:val="placeholder"/>
        </w:category>
        <w:types>
          <w:type w:val="bbPlcHdr"/>
        </w:types>
        <w:behaviors>
          <w:behavior w:val="content"/>
        </w:behaviors>
        <w:guid w:val="{6AC450E1-20CD-4CC9-ACAC-3EA61165F27A}"/>
      </w:docPartPr>
      <w:docPartBody>
        <w:p w:rsidR="003809DA" w:rsidRDefault="003809DA">
          <w:r w:rsidRPr="00730D7D">
            <w:rPr>
              <w:rStyle w:val="PlaceholderText"/>
            </w:rPr>
            <w:t>[Revision Number]</w:t>
          </w:r>
        </w:p>
      </w:docPartBody>
    </w:docPart>
    <w:docPart>
      <w:docPartPr>
        <w:name w:val="D4E9DDF268A446D28829B49CDC14D9E9"/>
        <w:category>
          <w:name w:val="Général"/>
          <w:gallery w:val="placeholder"/>
        </w:category>
        <w:types>
          <w:type w:val="bbPlcHdr"/>
        </w:types>
        <w:behaviors>
          <w:behavior w:val="content"/>
        </w:behaviors>
        <w:guid w:val="{F8FDE1FE-0B94-4CE0-A9C7-83FDD1D21A96}"/>
      </w:docPartPr>
      <w:docPartBody>
        <w:p w:rsidR="003809DA" w:rsidRDefault="003809DA">
          <w:r w:rsidRPr="00730D7D">
            <w:rPr>
              <w:rStyle w:val="PlaceholderText"/>
            </w:rPr>
            <w:t>[Issue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imes">
    <w:panose1 w:val="02020603050405020304"/>
    <w:charset w:val="00"/>
    <w:family w:val="auto"/>
    <w:pitch w:val="variable"/>
    <w:sig w:usb0="00000003" w:usb1="00000000" w:usb2="00000000" w:usb3="00000000" w:csb0="00000007"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mfortaa">
    <w:altName w:val="Calibri"/>
    <w:charset w:val="00"/>
    <w:family w:val="swiss"/>
    <w:pitch w:val="variable"/>
    <w:sig w:usb0="A00000A7" w:usb1="5000007B" w:usb2="00000000" w:usb3="00000000" w:csb0="0000019F" w:csb1="00000000"/>
  </w:font>
  <w:font w:name="+mn-ea">
    <w:panose1 w:val="00000000000000000000"/>
    <w:charset w:val="00"/>
    <w:family w:val="roman"/>
    <w:notTrueType/>
    <w:pitch w:val="default"/>
  </w:font>
  <w:font w:name="+mn-cs">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08"/>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4218AA"/>
    <w:rsid w:val="000300F2"/>
    <w:rsid w:val="00132284"/>
    <w:rsid w:val="0013463C"/>
    <w:rsid w:val="001766B5"/>
    <w:rsid w:val="001923BB"/>
    <w:rsid w:val="002658B5"/>
    <w:rsid w:val="00272669"/>
    <w:rsid w:val="002819C8"/>
    <w:rsid w:val="002B6A72"/>
    <w:rsid w:val="00300DAE"/>
    <w:rsid w:val="003027DF"/>
    <w:rsid w:val="003157C0"/>
    <w:rsid w:val="00327522"/>
    <w:rsid w:val="00330354"/>
    <w:rsid w:val="00342CC2"/>
    <w:rsid w:val="003809DA"/>
    <w:rsid w:val="0038159C"/>
    <w:rsid w:val="0040165E"/>
    <w:rsid w:val="00404E6F"/>
    <w:rsid w:val="00413F8B"/>
    <w:rsid w:val="004218AA"/>
    <w:rsid w:val="00433D07"/>
    <w:rsid w:val="004D4ADD"/>
    <w:rsid w:val="00554A98"/>
    <w:rsid w:val="005A136C"/>
    <w:rsid w:val="006068EF"/>
    <w:rsid w:val="006610B8"/>
    <w:rsid w:val="006D2B59"/>
    <w:rsid w:val="006E7F3A"/>
    <w:rsid w:val="00726561"/>
    <w:rsid w:val="00730FB8"/>
    <w:rsid w:val="00752B58"/>
    <w:rsid w:val="007609E6"/>
    <w:rsid w:val="00764091"/>
    <w:rsid w:val="00784A03"/>
    <w:rsid w:val="007A0C4E"/>
    <w:rsid w:val="007A6C6C"/>
    <w:rsid w:val="007C6D51"/>
    <w:rsid w:val="00817728"/>
    <w:rsid w:val="00853D43"/>
    <w:rsid w:val="00895E93"/>
    <w:rsid w:val="008C70F9"/>
    <w:rsid w:val="0091308C"/>
    <w:rsid w:val="009D2D84"/>
    <w:rsid w:val="009F5F4A"/>
    <w:rsid w:val="00A02EB4"/>
    <w:rsid w:val="00A33031"/>
    <w:rsid w:val="00A732B1"/>
    <w:rsid w:val="00AC4486"/>
    <w:rsid w:val="00B17673"/>
    <w:rsid w:val="00B238F8"/>
    <w:rsid w:val="00B32C9F"/>
    <w:rsid w:val="00B5201A"/>
    <w:rsid w:val="00B765DB"/>
    <w:rsid w:val="00BB0149"/>
    <w:rsid w:val="00BB42C4"/>
    <w:rsid w:val="00BE326D"/>
    <w:rsid w:val="00BF73FA"/>
    <w:rsid w:val="00C92FA8"/>
    <w:rsid w:val="00C97EB7"/>
    <w:rsid w:val="00CA15BA"/>
    <w:rsid w:val="00CE55CF"/>
    <w:rsid w:val="00D06306"/>
    <w:rsid w:val="00D418EE"/>
    <w:rsid w:val="00E40874"/>
    <w:rsid w:val="00EA1636"/>
    <w:rsid w:val="00EC6B46"/>
    <w:rsid w:val="00EE6889"/>
    <w:rsid w:val="00EF6B21"/>
    <w:rsid w:val="00F07F10"/>
    <w:rsid w:val="00F221B5"/>
    <w:rsid w:val="00F558E7"/>
    <w:rsid w:val="00F7028A"/>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32C9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E7F3A"/>
    <w:rPr>
      <w:color w:val="808080"/>
    </w:rPr>
  </w:style>
  <w:style w:type="paragraph" w:customStyle="1" w:styleId="7D0C9941793B40CB86E270183665009F">
    <w:name w:val="7D0C9941793B40CB86E270183665009F"/>
    <w:rsid w:val="00B32C9F"/>
  </w:style>
  <w:style w:type="paragraph" w:customStyle="1" w:styleId="7E1827FE640F4A2AB9476E3A25A1CD22">
    <w:name w:val="7E1827FE640F4A2AB9476E3A25A1CD22"/>
    <w:rsid w:val="00B32C9F"/>
  </w:style>
  <w:style w:type="paragraph" w:customStyle="1" w:styleId="6A242D96CC564A338BE8D43759761852">
    <w:name w:val="6A242D96CC564A338BE8D43759761852"/>
    <w:rsid w:val="00B32C9F"/>
  </w:style>
  <w:style w:type="paragraph" w:customStyle="1" w:styleId="87BDBD20904F44FD8F1F28FEFEEA5CA7">
    <w:name w:val="87BDBD20904F44FD8F1F28FEFEEA5CA7"/>
    <w:rsid w:val="00B32C9F"/>
  </w:style>
  <w:style w:type="paragraph" w:customStyle="1" w:styleId="A24B36CEA1B2416AADCE0A677F002E71">
    <w:name w:val="A24B36CEA1B2416AADCE0A677F002E71"/>
    <w:rsid w:val="00B32C9F"/>
  </w:style>
  <w:style w:type="paragraph" w:customStyle="1" w:styleId="FFEB9D848C86460FA1E5D75119A44801">
    <w:name w:val="FFEB9D848C86460FA1E5D75119A44801"/>
    <w:rsid w:val="00B32C9F"/>
  </w:style>
  <w:style w:type="paragraph" w:customStyle="1" w:styleId="0D6B410D2565410DA9F41B494C3ADE69">
    <w:name w:val="0D6B410D2565410DA9F41B494C3ADE69"/>
    <w:rsid w:val="00B32C9F"/>
  </w:style>
  <w:style w:type="paragraph" w:customStyle="1" w:styleId="25F2F27A9B054CEFB437CD1DA6FE9DE1">
    <w:name w:val="25F2F27A9B054CEFB437CD1DA6FE9DE1"/>
    <w:rsid w:val="00B32C9F"/>
  </w:style>
  <w:style w:type="paragraph" w:customStyle="1" w:styleId="F12F215B5DC743BBBE1A7A813050BFEE">
    <w:name w:val="F12F215B5DC743BBBE1A7A813050BFEE"/>
    <w:rsid w:val="00B32C9F"/>
  </w:style>
  <w:style w:type="paragraph" w:customStyle="1" w:styleId="61FE71743D7047BD908A2CD9F2B226B0">
    <w:name w:val="61FE71743D7047BD908A2CD9F2B226B0"/>
    <w:rsid w:val="00B32C9F"/>
  </w:style>
  <w:style w:type="paragraph" w:customStyle="1" w:styleId="7A9305B05BFB434381389D7D2005AE26">
    <w:name w:val="7A9305B05BFB434381389D7D2005AE26"/>
    <w:rsid w:val="00B32C9F"/>
  </w:style>
  <w:style w:type="paragraph" w:customStyle="1" w:styleId="2C429827327A46BCA7EFFAF9F90595FA">
    <w:name w:val="2C429827327A46BCA7EFFAF9F90595FA"/>
    <w:rsid w:val="00B32C9F"/>
  </w:style>
  <w:style w:type="paragraph" w:customStyle="1" w:styleId="FF7A4EEDC9B3428491D8C39D7A2F766B">
    <w:name w:val="FF7A4EEDC9B3428491D8C39D7A2F766B"/>
    <w:rsid w:val="00B32C9F"/>
  </w:style>
  <w:style w:type="paragraph" w:customStyle="1" w:styleId="42C66D563F4548F1A967A2E081F20CBC">
    <w:name w:val="42C66D563F4548F1A967A2E081F20CBC"/>
    <w:rsid w:val="00B32C9F"/>
  </w:style>
  <w:style w:type="paragraph" w:customStyle="1" w:styleId="2C0D5F4D9F16463EAA4FD74FC93E0205">
    <w:name w:val="2C0D5F4D9F16463EAA4FD74FC93E0205"/>
    <w:rsid w:val="00B32C9F"/>
  </w:style>
  <w:style w:type="paragraph" w:customStyle="1" w:styleId="56A0944204BC418CBDD944D0654BF7CE">
    <w:name w:val="56A0944204BC418CBDD944D0654BF7CE"/>
    <w:rsid w:val="003157C0"/>
    <w:pPr>
      <w:spacing w:after="120" w:line="240" w:lineRule="auto"/>
      <w:jc w:val="both"/>
    </w:pPr>
    <w:rPr>
      <w:rFonts w:ascii="Trebuchet MS" w:eastAsia="Times New Roman" w:hAnsi="Trebuchet MS" w:cs="Times New Roman"/>
      <w:sz w:val="20"/>
      <w:szCs w:val="24"/>
      <w:lang w:val="en-GB"/>
    </w:rPr>
  </w:style>
  <w:style w:type="paragraph" w:customStyle="1" w:styleId="F5B4BABED56D4944A94269AEFEF79A31">
    <w:name w:val="F5B4BABED56D4944A94269AEFEF79A31"/>
    <w:rsid w:val="003157C0"/>
    <w:pPr>
      <w:spacing w:after="120" w:line="240" w:lineRule="auto"/>
      <w:jc w:val="both"/>
    </w:pPr>
    <w:rPr>
      <w:rFonts w:ascii="Trebuchet MS" w:eastAsia="Times New Roman" w:hAnsi="Trebuchet MS" w:cs="Times New Roman"/>
      <w:sz w:val="20"/>
      <w:szCs w:val="24"/>
      <w:lang w:val="en-GB"/>
    </w:rPr>
  </w:style>
  <w:style w:type="paragraph" w:customStyle="1" w:styleId="7A9305B05BFB434381389D7D2005AE261">
    <w:name w:val="7A9305B05BFB434381389D7D2005AE261"/>
    <w:rsid w:val="003157C0"/>
    <w:pPr>
      <w:spacing w:after="120" w:line="240" w:lineRule="auto"/>
      <w:jc w:val="both"/>
    </w:pPr>
    <w:rPr>
      <w:rFonts w:ascii="Trebuchet MS" w:eastAsia="Times New Roman" w:hAnsi="Trebuchet MS" w:cs="Times New Roman"/>
      <w:sz w:val="20"/>
      <w:szCs w:val="24"/>
      <w:lang w:val="en-GB"/>
    </w:rPr>
  </w:style>
  <w:style w:type="paragraph" w:customStyle="1" w:styleId="7B58B371D8634837B91CA5B0B3E1E1F9">
    <w:name w:val="7B58B371D8634837B91CA5B0B3E1E1F9"/>
    <w:rsid w:val="00404E6F"/>
  </w:style>
  <w:style w:type="paragraph" w:customStyle="1" w:styleId="2FBC70F3CDC240D98F0CE2785B2D9A57">
    <w:name w:val="2FBC70F3CDC240D98F0CE2785B2D9A57"/>
    <w:rsid w:val="00404E6F"/>
  </w:style>
  <w:style w:type="paragraph" w:customStyle="1" w:styleId="A51252F1897446A9BD6E00447155B3C8">
    <w:name w:val="A51252F1897446A9BD6E00447155B3C8"/>
    <w:rsid w:val="00404E6F"/>
  </w:style>
  <w:style w:type="paragraph" w:customStyle="1" w:styleId="2831054867484BF588332B1E0E0BBF2F">
    <w:name w:val="2831054867484BF588332B1E0E0BBF2F"/>
    <w:rsid w:val="00404E6F"/>
  </w:style>
  <w:style w:type="paragraph" w:customStyle="1" w:styleId="0DAF69F8EA8B483597EE7AF10DF34809">
    <w:name w:val="0DAF69F8EA8B483597EE7AF10DF34809"/>
    <w:rsid w:val="00404E6F"/>
  </w:style>
  <w:style w:type="paragraph" w:customStyle="1" w:styleId="34D935ABB1E74FADBA89E8AD37ABF5D6">
    <w:name w:val="34D935ABB1E74FADBA89E8AD37ABF5D6"/>
    <w:rsid w:val="00404E6F"/>
  </w:style>
  <w:style w:type="paragraph" w:customStyle="1" w:styleId="190699A8E0664659A1D15FDFFFF64902">
    <w:name w:val="190699A8E0664659A1D15FDFFFF64902"/>
    <w:rsid w:val="00404E6F"/>
  </w:style>
  <w:style w:type="paragraph" w:customStyle="1" w:styleId="3FC2E39AE3B5449BA9CD2780DA0E81E4">
    <w:name w:val="3FC2E39AE3B5449BA9CD2780DA0E81E4"/>
    <w:rsid w:val="00132284"/>
  </w:style>
  <w:style w:type="paragraph" w:customStyle="1" w:styleId="4051AC42C3D945AABDE438AB292DF9F6">
    <w:name w:val="4051AC42C3D945AABDE438AB292DF9F6"/>
    <w:rsid w:val="0013228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Language xmlns="http://schemas.microsoft.com/sharepoint/v3">Anglais</Language>
    <Co-auteur xmlns="24584a92-cfe5-42c0-880b-1dbd08f20e00" xsi:nil="true"/>
    <_Source xmlns="http://schemas.microsoft.com/sharepoint/v3/fields" xsi:nil="true"/>
    <Nomenclature xmlns="24584a92-cfe5-42c0-880b-1dbd08f20e00">Public</Nomenclature>
    <_Publisher xmlns="http://schemas.microsoft.com/sharepoint/v3/fields">CLS</_Publisher>
    <_Status xmlns="http://schemas.microsoft.com/sharepoint/v3/fields">Draft</_Status>
    <TaxCatchAll xmlns="24584a92-cfe5-42c0-880b-1dbd08f20e00"/>
    <Référence xmlns="24584a92-cfe5-42c0-880b-1dbd08f20e00">MESOPP-18-0004</Référence>
    <a1c7a85153334bb0955c2f9598d080be xmlns="24584a92-cfe5-42c0-880b-1dbd08f20e00">
      <Terms xmlns="http://schemas.microsoft.com/office/infopath/2007/PartnerControls"/>
    </a1c7a85153334bb0955c2f9598d080be>
    <Date_x0020_version xmlns="24584a92-cfe5-42c0-880b-1dbd08f20e00">2019-03-03T00:00:00</Date_x0020_version>
    <Destinataires xmlns="24584a92-cfe5-42c0-880b-1dbd08f20e00" xsi:nil="true"/>
    <Référence_x0020_externe xmlns="24584a92-cfe5-42c0-880b-1dbd08f20e00" xsi:nil="true"/>
    <vérificateurs xmlns="24584a92-cfe5-42c0-880b-1dbd08f20e00" xsi:nil="true"/>
    <Approbateurs xmlns="24584a92-cfe5-42c0-880b-1dbd08f20e00" xsi:nil="true"/>
    <_ResourceType xmlns="http://schemas.microsoft.com/sharepoint/v3/fields">Technical Note</_ResourceType>
    <Référence_x0020_du_x0020_contrat xmlns="24584a92-cfe5-42c0-880b-1dbd08f20e00" xsi:nil="true"/>
    <Indice_x0020_édition xmlns="24584a92-cfe5-42c0-880b-1dbd08f20e00">1</Indice_x0020_édition>
    <Indice_x0020_révision xmlns="24584a92-cfe5-42c0-880b-1dbd08f20e00">1</Indice_x0020_révision>
    <Commentaires_relecture xmlns="24584a92-cfe5-42c0-880b-1dbd08f20e00" xsi:nil="true"/>
  </documentManagement>
</p:properties>
</file>

<file path=customXml/item2.xml><?xml version="1.0" encoding="utf-8"?>
<?mso-contentType ?>
<SharedContentType xmlns="Microsoft.SharePoint.Taxonomy.ContentTypeSync" SourceId="e67887bc-73e1-46c3-a151-501b31e7815b" ContentTypeId="0x010100853BD43EC96A9741BFCB5D4135F0671401030105"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MESOPP_Template" ma:contentTypeID="0x010100853BD43EC96A9741BFCB5D4135F067140103010500EEBFA3DC7FDD8049AC51C451FAB28A1000A699B686A364A647A146C2F839FFA29C" ma:contentTypeVersion="6" ma:contentTypeDescription=" " ma:contentTypeScope="" ma:versionID="06208168fdbe41b826527db5fde15840">
  <xsd:schema xmlns:xsd="http://www.w3.org/2001/XMLSchema" xmlns:xs="http://www.w3.org/2001/XMLSchema" xmlns:p="http://schemas.microsoft.com/office/2006/metadata/properties" xmlns:ns1="http://schemas.microsoft.com/sharepoint/v3" xmlns:ns2="24584a92-cfe5-42c0-880b-1dbd08f20e00" xmlns:ns3="http://schemas.microsoft.com/sharepoint/v3/fields" xmlns:ns4="dd2b85e0-a704-4af7-822f-c7d2aa060d9f" targetNamespace="http://schemas.microsoft.com/office/2006/metadata/properties" ma:root="true" ma:fieldsID="804c3ccb09a642685ceea24895812c7d" ns1:_="" ns2:_="" ns3:_="" ns4:_="">
    <xsd:import namespace="http://schemas.microsoft.com/sharepoint/v3"/>
    <xsd:import namespace="24584a92-cfe5-42c0-880b-1dbd08f20e00"/>
    <xsd:import namespace="http://schemas.microsoft.com/sharepoint/v3/fields"/>
    <xsd:import namespace="dd2b85e0-a704-4af7-822f-c7d2aa060d9f"/>
    <xsd:element name="properties">
      <xsd:complexType>
        <xsd:sequence>
          <xsd:element name="documentManagement">
            <xsd:complexType>
              <xsd:all>
                <xsd:element ref="ns2:TaxCatchAll" minOccurs="0"/>
                <xsd:element ref="ns2:TaxCatchAllLabel" minOccurs="0"/>
                <xsd:element ref="ns1:Language" minOccurs="0"/>
                <xsd:element ref="ns2:Date_x0020_version" minOccurs="0"/>
                <xsd:element ref="ns2:Co-auteur" minOccurs="0"/>
                <xsd:element ref="ns2:Référence" minOccurs="0"/>
                <xsd:element ref="ns2:Indice_x0020_édition" minOccurs="0"/>
                <xsd:element ref="ns2:Indice_x0020_révision" minOccurs="0"/>
                <xsd:element ref="ns2:Destinataires" minOccurs="0"/>
                <xsd:element ref="ns3:_Publisher" minOccurs="0"/>
                <xsd:element ref="ns3:_Source" minOccurs="0"/>
                <xsd:element ref="ns2:Référence_x0020_du_x0020_contrat" minOccurs="0"/>
                <xsd:element ref="ns2:Référence_x0020_externe" minOccurs="0"/>
                <xsd:element ref="ns2:Nomenclature" minOccurs="0"/>
                <xsd:element ref="ns2:a1c7a85153334bb0955c2f9598d080be" minOccurs="0"/>
                <xsd:element ref="ns2:vérificateurs" minOccurs="0"/>
                <xsd:element ref="ns2:Approbateurs" minOccurs="0"/>
                <xsd:element ref="ns3:_Status" minOccurs="0"/>
                <xsd:element ref="ns3:_ResourceType" minOccurs="0"/>
                <xsd:element ref="ns2:Commentaires_relecture" minOccurs="0"/>
                <xsd:element ref="ns4:_dlc_DocId" minOccurs="0"/>
                <xsd:element ref="ns4:_dlc_DocIdUrl" minOccurs="0"/>
                <xsd:element ref="ns4: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Language" ma:index="10" nillable="true" ma:displayName="Language" ma:format="Dropdown" ma:internalName="Language" ma:readOnly="false">
      <xsd:simpleType>
        <xsd:union memberTypes="dms:Text">
          <xsd:simpleType>
            <xsd:restriction base="dms:Choice">
              <xsd:enumeration value="Arabe (Arabie saoudite)"/>
              <xsd:enumeration value="Bulgare (Bulgarie)"/>
              <xsd:enumeration value="Chinois (R.A.S. de Hong Kong)"/>
              <xsd:enumeration value="Chinois (République populaire de Chine)"/>
              <xsd:enumeration value="Chinois (Taïwan)"/>
              <xsd:enumeration value="Croate (Croatie)"/>
              <xsd:enumeration value="Tchèque (République tchèque)"/>
              <xsd:enumeration value="Danois (Danemark)"/>
              <xsd:enumeration value="Néerlandais (Pays-Bas)"/>
              <xsd:enumeration value="Anglais"/>
              <xsd:enumeration value="Estonien (Estonie)"/>
              <xsd:enumeration value="Finnois (Finlande)"/>
              <xsd:enumeration value="Français (France)"/>
              <xsd:enumeration value="Allemand (Allemagne)"/>
              <xsd:enumeration value="Grec (Grèce)"/>
              <xsd:enumeration value="Hébreu (Israël)"/>
              <xsd:enumeration value="Hindi (Inde)"/>
              <xsd:enumeration value="Hongrois (Hongrie)"/>
              <xsd:enumeration value="Indonésien (Indonésie)"/>
              <xsd:enumeration value="Italien (Italie)"/>
              <xsd:enumeration value="Japonais (Japon)"/>
              <xsd:enumeration value="Coréen (Corée)"/>
              <xsd:enumeration value="Letton (Lettonie)"/>
              <xsd:enumeration value="Lituanien (Lituanie)"/>
              <xsd:enumeration value="Malais (Malaisie)"/>
              <xsd:enumeration value="Norvégien (Bokmal) (Norvège)"/>
              <xsd:enumeration value="Polonais (Pologne)"/>
              <xsd:enumeration value="Portugais (Brésil)"/>
              <xsd:enumeration value="Portugais (Portugal)"/>
              <xsd:enumeration value="Roumain (Roumanie)"/>
              <xsd:enumeration value="Russe (Russie)"/>
              <xsd:enumeration value="Serbe (Latin, Serbie)"/>
              <xsd:enumeration value="Slovaque (Slovaquie)"/>
              <xsd:enumeration value="Slovène (Slovénie)"/>
              <xsd:enumeration value="Espagnol (Espagne)"/>
              <xsd:enumeration value="Suédois (Suède)"/>
              <xsd:enumeration value="Thaï (Thaïlande)"/>
              <xsd:enumeration value="Turc (Turquie)"/>
              <xsd:enumeration value="Ukrainien (Ukraine)"/>
              <xsd:enumeration value="Ourdou (République islamique du Pakistan)"/>
              <xsd:enumeration value="Vietnamien (Vietnam)"/>
            </xsd:restriction>
          </xsd:simpleType>
        </xsd:union>
      </xsd:simpleType>
    </xsd:element>
  </xsd:schema>
  <xsd:schema xmlns:xsd="http://www.w3.org/2001/XMLSchema" xmlns:xs="http://www.w3.org/2001/XMLSchema" xmlns:dms="http://schemas.microsoft.com/office/2006/documentManagement/types" xmlns:pc="http://schemas.microsoft.com/office/infopath/2007/PartnerControls" targetNamespace="24584a92-cfe5-42c0-880b-1dbd08f20e00" elementFormDefault="qualified">
    <xsd:import namespace="http://schemas.microsoft.com/office/2006/documentManagement/types"/>
    <xsd:import namespace="http://schemas.microsoft.com/office/infopath/2007/PartnerControls"/>
    <xsd:element name="TaxCatchAll" ma:index="8" nillable="true" ma:displayName="Colonne Attraper tout de Taxonomie" ma:description="" ma:hidden="true" ma:list="{a134cd7b-98e9-4cd3-96ec-1b3fd3b93ec3}" ma:internalName="TaxCatchAll" ma:showField="CatchAllData" ma:web="dd2b85e0-a704-4af7-822f-c7d2aa060d9f">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Colonne Attraper tout de Taxonomie1" ma:description="" ma:hidden="true" ma:list="{a134cd7b-98e9-4cd3-96ec-1b3fd3b93ec3}" ma:internalName="TaxCatchAllLabel" ma:readOnly="true" ma:showField="CatchAllDataLabel" ma:web="dd2b85e0-a704-4af7-822f-c7d2aa060d9f">
      <xsd:complexType>
        <xsd:complexContent>
          <xsd:extension base="dms:MultiChoiceLookup">
            <xsd:sequence>
              <xsd:element name="Value" type="dms:Lookup" maxOccurs="unbounded" minOccurs="0" nillable="true"/>
            </xsd:sequence>
          </xsd:extension>
        </xsd:complexContent>
      </xsd:complexType>
    </xsd:element>
    <xsd:element name="Date_x0020_version" ma:index="14" nillable="true" ma:displayName="Issue Date" ma:format="DateOnly" ma:internalName="Date_x0020_version">
      <xsd:simpleType>
        <xsd:restriction base="dms:DateTime"/>
      </xsd:simpleType>
    </xsd:element>
    <xsd:element name="Co-auteur" ma:index="15" nillable="true" ma:displayName="Co-Author" ma:internalName="Co_x002d_auteur">
      <xsd:simpleType>
        <xsd:restriction base="dms:Text">
          <xsd:maxLength value="255"/>
        </xsd:restriction>
      </xsd:simpleType>
    </xsd:element>
    <xsd:element name="Référence" ma:index="16" nillable="true" ma:displayName="Reference" ma:internalName="R_x00e9_f_x00e9_rence">
      <xsd:simpleType>
        <xsd:restriction base="dms:Text">
          <xsd:maxLength value="255"/>
        </xsd:restriction>
      </xsd:simpleType>
    </xsd:element>
    <xsd:element name="Indice_x0020_édition" ma:index="17" nillable="true" ma:displayName="Edition Number" ma:internalName="Indice_x0020__x00e9_dition">
      <xsd:simpleType>
        <xsd:restriction base="dms:Text">
          <xsd:maxLength value="255"/>
        </xsd:restriction>
      </xsd:simpleType>
    </xsd:element>
    <xsd:element name="Indice_x0020_révision" ma:index="18" nillable="true" ma:displayName="Revision Number" ma:internalName="Indice_x0020_r_x00e9_vision">
      <xsd:simpleType>
        <xsd:restriction base="dms:Text">
          <xsd:maxLength value="255"/>
        </xsd:restriction>
      </xsd:simpleType>
    </xsd:element>
    <xsd:element name="Destinataires" ma:index="19" nillable="true" ma:displayName="Recipients" ma:internalName="Destinataires">
      <xsd:simpleType>
        <xsd:restriction base="dms:Text">
          <xsd:maxLength value="255"/>
        </xsd:restriction>
      </xsd:simpleType>
    </xsd:element>
    <xsd:element name="Référence_x0020_du_x0020_contrat" ma:index="22" nillable="true" ma:displayName="Reference of the contract" ma:internalName="R_x00e9_f_x00e9_rence_x0020_du_x0020_contrat">
      <xsd:simpleType>
        <xsd:restriction base="dms:Text">
          <xsd:maxLength value="255"/>
        </xsd:restriction>
      </xsd:simpleType>
    </xsd:element>
    <xsd:element name="Référence_x0020_externe" ma:index="23" nillable="true" ma:displayName="External reference" ma:internalName="R_x00e9_f_x00e9_rence_x0020_externe">
      <xsd:simpleType>
        <xsd:restriction base="dms:Text">
          <xsd:maxLength value="255"/>
        </xsd:restriction>
      </xsd:simpleType>
    </xsd:element>
    <xsd:element name="Nomenclature" ma:index="24" nillable="true" ma:displayName="Nomenclature" ma:internalName="Nomenclature">
      <xsd:simpleType>
        <xsd:restriction base="dms:Text">
          <xsd:maxLength value="255"/>
        </xsd:restriction>
      </xsd:simpleType>
    </xsd:element>
    <xsd:element name="a1c7a85153334bb0955c2f9598d080be" ma:index="25" nillable="true" ma:taxonomy="true" ma:internalName="a1c7a85153334bb0955c2f9598d080be" ma:taxonomyFieldName="Composants" ma:displayName="Components" ma:default="" ma:fieldId="{a1c7a851-5333-4bb0-955c-2f9598d080be}" ma:taxonomyMulti="true" ma:sspId="e67887bc-73e1-46c3-a151-501b31e7815b" ma:termSetId="271a31bc-27ff-4c6f-b48c-4f87cf342eff" ma:anchorId="00000000-0000-0000-0000-000000000000" ma:open="true" ma:isKeyword="false">
      <xsd:complexType>
        <xsd:sequence>
          <xsd:element ref="pc:Terms" minOccurs="0" maxOccurs="1"/>
        </xsd:sequence>
      </xsd:complexType>
    </xsd:element>
    <xsd:element name="vérificateurs" ma:index="27" nillable="true" ma:displayName="Checker" ma:internalName="v_x00e9_rificateurs">
      <xsd:simpleType>
        <xsd:restriction base="dms:Text">
          <xsd:maxLength value="255"/>
        </xsd:restriction>
      </xsd:simpleType>
    </xsd:element>
    <xsd:element name="Approbateurs" ma:index="28" nillable="true" ma:displayName="Approver" ma:internalName="Approbateurs">
      <xsd:simpleType>
        <xsd:restriction base="dms:Text">
          <xsd:maxLength value="255"/>
        </xsd:restriction>
      </xsd:simpleType>
    </xsd:element>
    <xsd:element name="Commentaires_relecture" ma:index="31" nillable="true" ma:displayName="Feedback_comments" ma:internalName="Commentaires_relectur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Publisher" ma:index="20" nillable="true" ma:displayName="Publisher" ma:default="CLS" ma:description="Person, organization or service that published the resource" ma:format="Dropdown" ma:internalName="_Publisher">
      <xsd:simpleType>
        <xsd:restriction base="dms:Choice">
          <xsd:enumeration value="CLS"/>
          <xsd:enumeration value="AAD(Australian Antarctic Division)"/>
          <xsd:enumeration value="ACE CRC(Antarctic Climate and Ecosystems Cooperative Research Centre)"/>
          <xsd:enumeration value="BAS(British Antarctic Survey(NERC-BAS))"/>
          <xsd:enumeration value="CSIRO(Commonwealth Scientific and Industrial Research Organisation)"/>
          <xsd:enumeration value="IMR(Havforskningsinstituttet)"/>
          <xsd:enumeration value="UPMC(Université PM Curie Paris6)"/>
          <xsd:enumeration value="UTAS(University of Tasmania)"/>
          <xsd:enumeration value="USTAN(UA-University Court of the University of StAndrews)"/>
        </xsd:restriction>
      </xsd:simpleType>
    </xsd:element>
    <xsd:element name="_Source" ma:index="21" nillable="true" ma:displayName="Source" ma:description="References to resources from which this resource was derived" ma:internalName="_Source">
      <xsd:simpleType>
        <xsd:restriction base="dms:Note">
          <xsd:maxLength value="255"/>
        </xsd:restriction>
      </xsd:simpleType>
    </xsd:element>
    <xsd:element name="_Status" ma:index="29" nillable="true" ma:displayName="Status" ma:default="Draft" ma:format="Dropdown" ma:internalName="_Status">
      <xsd:simpleType>
        <xsd:restriction base="dms:Choice">
          <xsd:enumeration value="Draft"/>
          <xsd:enumeration value="Published"/>
          <xsd:enumeration value="To be reviewed"/>
        </xsd:restriction>
      </xsd:simpleType>
    </xsd:element>
    <xsd:element name="_ResourceType" ma:index="30" nillable="true" ma:displayName="ResourceType" ma:default="Technical Note" ma:description="Jeu de catégories, fonctions, genres ou niveau d'agrégation" ma:format="Dropdown" ma:indexed="true" ma:internalName="_ResourceType" ma:readOnly="false">
      <xsd:simpleType>
        <xsd:restriction base="dms:Choice">
          <xsd:enumeration value="Technical Note"/>
          <xsd:enumeration value="Acceptance document"/>
          <xsd:enumeration value="Dashboard"/>
          <xsd:enumeration value="Delivery note"/>
          <xsd:enumeration value="Design document"/>
          <xsd:enumeration value="Manual"/>
          <xsd:enumeration value="Memorandum"/>
          <xsd:enumeration value="Minute of Meeting"/>
          <xsd:enumeration value="Minute of Mission"/>
          <xsd:enumeration value="Monthly Report"/>
          <xsd:enumeration value="Organizational Note"/>
          <xsd:enumeration value="Plan"/>
          <xsd:enumeration value="Planning"/>
          <xsd:enumeration value="Powerpoint"/>
          <xsd:enumeration value="Report"/>
          <xsd:enumeration value="Reporting"/>
          <xsd:enumeration value="Requirement"/>
          <xsd:enumeration value="Specification"/>
          <xsd:enumeration value="Tests Document"/>
        </xsd:restriction>
      </xsd:simpleType>
    </xsd:element>
  </xsd:schema>
  <xsd:schema xmlns:xsd="http://www.w3.org/2001/XMLSchema" xmlns:xs="http://www.w3.org/2001/XMLSchema" xmlns:dms="http://schemas.microsoft.com/office/2006/documentManagement/types" xmlns:pc="http://schemas.microsoft.com/office/infopath/2007/PartnerControls" targetNamespace="dd2b85e0-a704-4af7-822f-c7d2aa060d9f" elementFormDefault="qualified">
    <xsd:import namespace="http://schemas.microsoft.com/office/2006/documentManagement/types"/>
    <xsd:import namespace="http://schemas.microsoft.com/office/infopath/2007/PartnerControls"/>
    <xsd:element name="_dlc_DocId" ma:index="32" nillable="true" ma:displayName="Document ID Value" ma:description="The value of the document ID assigned to this item." ma:internalName="_dlc_DocId" ma:readOnly="true">
      <xsd:simpleType>
        <xsd:restriction base="dms:Text"/>
      </xsd:simpleType>
    </xsd:element>
    <xsd:element name="_dlc_DocIdUrl" ma:index="33"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4" nillable="true" ma:displayName="Conserver l’ID" ma:description="Conserver l’ID lors de l’ajout."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12"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ma:index="11" ma:displayName="Comments"/>
        <xsd:element name="keywords" minOccurs="0" maxOccurs="1" type="xsd:string"/>
        <xsd:element ref="dc:language" minOccurs="0" maxOccurs="1"/>
        <xsd:element name="category" minOccurs="0" maxOccurs="1" type="xsd:string" ma:index="13" ma:displayName="Category"/>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ma:displayName="Status"/>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MLA.XSL" StyleName="MLA"/>
</file>

<file path=customXml/item7.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266CB10C-B786-4360-BB67-6A5086C74641}">
  <ds:schemaRefs>
    <ds:schemaRef ds:uri="http://schemas.microsoft.com/office/2006/metadata/properties"/>
    <ds:schemaRef ds:uri="http://schemas.microsoft.com/office/infopath/2007/PartnerControls"/>
    <ds:schemaRef ds:uri="http://schemas.microsoft.com/sharepoint/v3"/>
    <ds:schemaRef ds:uri="24584a92-cfe5-42c0-880b-1dbd08f20e00"/>
    <ds:schemaRef ds:uri="http://schemas.microsoft.com/sharepoint/v3/fields"/>
  </ds:schemaRefs>
</ds:datastoreItem>
</file>

<file path=customXml/itemProps2.xml><?xml version="1.0" encoding="utf-8"?>
<ds:datastoreItem xmlns:ds="http://schemas.openxmlformats.org/officeDocument/2006/customXml" ds:itemID="{9400DA4B-85BF-4780-AC6B-A356B3B65270}">
  <ds:schemaRefs>
    <ds:schemaRef ds:uri="Microsoft.SharePoint.Taxonomy.ContentTypeSync"/>
  </ds:schemaRefs>
</ds:datastoreItem>
</file>

<file path=customXml/itemProps3.xml><?xml version="1.0" encoding="utf-8"?>
<ds:datastoreItem xmlns:ds="http://schemas.openxmlformats.org/officeDocument/2006/customXml" ds:itemID="{4EEBD4B0-1696-4458-A5A4-1C0379626670}">
  <ds:schemaRefs>
    <ds:schemaRef ds:uri="http://schemas.microsoft.com/sharepoint/events"/>
  </ds:schemaRefs>
</ds:datastoreItem>
</file>

<file path=customXml/itemProps4.xml><?xml version="1.0" encoding="utf-8"?>
<ds:datastoreItem xmlns:ds="http://schemas.openxmlformats.org/officeDocument/2006/customXml" ds:itemID="{CC7F7914-7381-45B9-9BC4-2E0D5DFB5D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4584a92-cfe5-42c0-880b-1dbd08f20e00"/>
    <ds:schemaRef ds:uri="http://schemas.microsoft.com/sharepoint/v3/fields"/>
    <ds:schemaRef ds:uri="dd2b85e0-a704-4af7-822f-c7d2aa060d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33D2385-716E-4B84-86DC-E5BBB4221399}">
  <ds:schemaRefs>
    <ds:schemaRef ds:uri="http://schemas.microsoft.com/sharepoint/v3/contenttype/forms"/>
  </ds:schemaRefs>
</ds:datastoreItem>
</file>

<file path=customXml/itemProps6.xml><?xml version="1.0" encoding="utf-8"?>
<ds:datastoreItem xmlns:ds="http://schemas.openxmlformats.org/officeDocument/2006/customXml" ds:itemID="{92805E33-3777-4977-B992-976BB15FBFB8}">
  <ds:schemaRefs>
    <ds:schemaRef ds:uri="http://schemas.openxmlformats.org/officeDocument/2006/bibliography"/>
  </ds:schemaRefs>
</ds:datastoreItem>
</file>

<file path=customXml/itemProps7.xml><?xml version="1.0" encoding="utf-8"?>
<ds:datastoreItem xmlns:ds="http://schemas.openxmlformats.org/officeDocument/2006/customXml" ds:itemID="{99A72A09-E9C8-4A84-8C37-1CC34A0825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28018</Words>
  <Characters>159705</Characters>
  <Application>Microsoft Office Word</Application>
  <DocSecurity>0</DocSecurity>
  <Lines>1330</Lines>
  <Paragraphs>374</Paragraphs>
  <ScaleCrop>false</ScaleCrop>
  <HeadingPairs>
    <vt:vector size="2" baseType="variant">
      <vt:variant>
        <vt:lpstr>Title</vt:lpstr>
      </vt:variant>
      <vt:variant>
        <vt:i4>1</vt:i4>
      </vt:variant>
    </vt:vector>
  </HeadingPairs>
  <TitlesOfParts>
    <vt:vector size="1" baseType="lpstr">
      <vt:lpstr>Modelisation of potential habitats of the main mesopelagic fish according to environmental parameters</vt:lpstr>
    </vt:vector>
  </TitlesOfParts>
  <Company>CLS</Company>
  <LinksUpToDate>false</LinksUpToDate>
  <CharactersWithSpaces>187349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Modelisation of potential habitats of the main mesopelagic fish according to environmental parameters</dc:title>
  <dc:creator>bcalmettes</dc:creator>
  <cp:lastModifiedBy>roland proud</cp:lastModifiedBy>
  <cp:revision>2</cp:revision>
  <cp:lastPrinted>2017-07-31T08:23:00Z</cp:lastPrinted>
  <dcterms:created xsi:type="dcterms:W3CDTF">2019-03-03T11:37:00Z</dcterms:created>
  <dcterms:modified xsi:type="dcterms:W3CDTF">2019-03-03T11:37:00Z</dcterms:modified>
  <cp:category>MESOPP</cp:category>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éférence">
    <vt:lpwstr>CLS-DIR-NT-year-chrono</vt:lpwstr>
  </property>
  <property fmtid="{D5CDD505-2E9C-101B-9397-08002B2CF9AE}" pid="3" name="Nomenclature">
    <vt:lpwstr>[Nomenclature]</vt:lpwstr>
  </property>
  <property fmtid="{D5CDD505-2E9C-101B-9397-08002B2CF9AE}" pid="4" name="Indice édition">
    <vt:lpwstr>x</vt:lpwstr>
  </property>
  <property fmtid="{D5CDD505-2E9C-101B-9397-08002B2CF9AE}" pid="5" name="Indice révision">
    <vt:lpwstr>y</vt:lpwstr>
  </property>
  <property fmtid="{D5CDD505-2E9C-101B-9397-08002B2CF9AE}" pid="6" name="Date version">
    <vt:lpwstr>2012,Dec.18</vt:lpwstr>
  </property>
  <property fmtid="{D5CDD505-2E9C-101B-9397-08002B2CF9AE}" pid="7" name="_ResourceType">
    <vt:lpwstr>Note technique</vt:lpwstr>
  </property>
  <property fmtid="{D5CDD505-2E9C-101B-9397-08002B2CF9AE}" pid="8" name="_Publisher">
    <vt:lpwstr>CLS</vt:lpwstr>
  </property>
  <property fmtid="{D5CDD505-2E9C-101B-9397-08002B2CF9AE}" pid="9" name="Vérificateurs">
    <vt:lpwstr>[Vérificateurs]</vt:lpwstr>
  </property>
  <property fmtid="{D5CDD505-2E9C-101B-9397-08002B2CF9AE}" pid="10" name="Approbateurs">
    <vt:lpwstr>[Approbateurs]</vt:lpwstr>
  </property>
  <property fmtid="{D5CDD505-2E9C-101B-9397-08002B2CF9AE}" pid="11" name="ContentTypeId">
    <vt:lpwstr>0x010100853BD43EC96A9741BFCB5D4135F067140103010500EEBFA3DC7FDD8049AC51C451FAB28A1000A699B686A364A647A146C2F839FFA29C</vt:lpwstr>
  </property>
  <property fmtid="{D5CDD505-2E9C-101B-9397-08002B2CF9AE}" pid="12" name="configRuban">
    <vt:lpwstr>ruban2</vt:lpwstr>
  </property>
  <property fmtid="{D5CDD505-2E9C-101B-9397-08002B2CF9AE}" pid="13" name="Composants">
    <vt:lpwstr/>
  </property>
  <property fmtid="{D5CDD505-2E9C-101B-9397-08002B2CF9AE}" pid="14" name="Mendeley Document_1">
    <vt:lpwstr>True</vt:lpwstr>
  </property>
  <property fmtid="{D5CDD505-2E9C-101B-9397-08002B2CF9AE}" pid="15" name="Mendeley Citation Style_1">
    <vt:lpwstr>http://www.zotero.org/styles/marine-ecology-progress-series</vt:lpwstr>
  </property>
  <property fmtid="{D5CDD505-2E9C-101B-9397-08002B2CF9AE}" pid="16" name="Mendeley Unique User Id_1">
    <vt:lpwstr>f433a304-5577-399b-bc89-0c1c697ffc32</vt:lpwstr>
  </property>
  <property fmtid="{D5CDD505-2E9C-101B-9397-08002B2CF9AE}" pid="17" name="Mendeley Recent Style Id 0_1">
    <vt:lpwstr>http://www.zotero.org/styles/american-political-science-association</vt:lpwstr>
  </property>
  <property fmtid="{D5CDD505-2E9C-101B-9397-08002B2CF9AE}" pid="18" name="Mendeley Recent Style Name 0_1">
    <vt:lpwstr>American Political Science Association</vt:lpwstr>
  </property>
  <property fmtid="{D5CDD505-2E9C-101B-9397-08002B2CF9AE}" pid="19" name="Mendeley Recent Style Id 1_1">
    <vt:lpwstr>http://www.zotero.org/styles/apa</vt:lpwstr>
  </property>
  <property fmtid="{D5CDD505-2E9C-101B-9397-08002B2CF9AE}" pid="20" name="Mendeley Recent Style Name 1_1">
    <vt:lpwstr>American Psychological Association 6th edition</vt:lpwstr>
  </property>
  <property fmtid="{D5CDD505-2E9C-101B-9397-08002B2CF9AE}" pid="21" name="Mendeley Recent Style Id 2_1">
    <vt:lpwstr>http://www.zotero.org/styles/chicago-author-date</vt:lpwstr>
  </property>
  <property fmtid="{D5CDD505-2E9C-101B-9397-08002B2CF9AE}" pid="22" name="Mendeley Recent Style Name 2_1">
    <vt:lpwstr>Chicago Manual of Style 16th edition (author-date)</vt:lpwstr>
  </property>
  <property fmtid="{D5CDD505-2E9C-101B-9397-08002B2CF9AE}" pid="23" name="Mendeley Recent Style Id 3_1">
    <vt:lpwstr>http://www.zotero.org/styles/fish-and-fisheries</vt:lpwstr>
  </property>
  <property fmtid="{D5CDD505-2E9C-101B-9397-08002B2CF9AE}" pid="24" name="Mendeley Recent Style Name 3_1">
    <vt:lpwstr>Fish and Fisheries</vt:lpwstr>
  </property>
  <property fmtid="{D5CDD505-2E9C-101B-9397-08002B2CF9AE}" pid="25" name="Mendeley Recent Style Id 4_1">
    <vt:lpwstr>http://www.zotero.org/styles/harvard1</vt:lpwstr>
  </property>
  <property fmtid="{D5CDD505-2E9C-101B-9397-08002B2CF9AE}" pid="26" name="Mendeley Recent Style Name 4_1">
    <vt:lpwstr>Harvard Reference format 1 (author-date)</vt:lpwstr>
  </property>
  <property fmtid="{D5CDD505-2E9C-101B-9397-08002B2CF9AE}" pid="27" name="Mendeley Recent Style Id 5_1">
    <vt:lpwstr>http://www.zotero.org/styles/ices-journal-of-marine-science</vt:lpwstr>
  </property>
  <property fmtid="{D5CDD505-2E9C-101B-9397-08002B2CF9AE}" pid="28" name="Mendeley Recent Style Name 5_1">
    <vt:lpwstr>ICES Journal of Marine Science</vt:lpwstr>
  </property>
  <property fmtid="{D5CDD505-2E9C-101B-9397-08002B2CF9AE}" pid="29" name="Mendeley Recent Style Id 6_1">
    <vt:lpwstr>http://www.zotero.org/styles/ieee</vt:lpwstr>
  </property>
  <property fmtid="{D5CDD505-2E9C-101B-9397-08002B2CF9AE}" pid="30" name="Mendeley Recent Style Name 6_1">
    <vt:lpwstr>IEEE</vt:lpwstr>
  </property>
  <property fmtid="{D5CDD505-2E9C-101B-9397-08002B2CF9AE}" pid="31" name="Mendeley Recent Style Id 7_1">
    <vt:lpwstr>http://www.zotero.org/styles/marine-ecology-progress-series</vt:lpwstr>
  </property>
  <property fmtid="{D5CDD505-2E9C-101B-9397-08002B2CF9AE}" pid="32" name="Mendeley Recent Style Name 7_1">
    <vt:lpwstr>Marine Ecology Progress Series</vt:lpwstr>
  </property>
  <property fmtid="{D5CDD505-2E9C-101B-9397-08002B2CF9AE}" pid="33" name="Mendeley Recent Style Id 8_1">
    <vt:lpwstr>http://www.zotero.org/styles/modern-humanities-research-association</vt:lpwstr>
  </property>
  <property fmtid="{D5CDD505-2E9C-101B-9397-08002B2CF9AE}" pid="34" name="Mendeley Recent Style Name 8_1">
    <vt:lpwstr>Modern Humanities Research Association 3rd edition (note with bibliography)</vt:lpwstr>
  </property>
  <property fmtid="{D5CDD505-2E9C-101B-9397-08002B2CF9AE}" pid="35" name="Mendeley Recent Style Id 9_1">
    <vt:lpwstr>http://www.zotero.org/styles/trends-journals</vt:lpwstr>
  </property>
  <property fmtid="{D5CDD505-2E9C-101B-9397-08002B2CF9AE}" pid="36" name="Mendeley Recent Style Name 9_1">
    <vt:lpwstr>Trends journals</vt:lpwstr>
  </property>
</Properties>
</file>